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3E752" w14:textId="77777777" w:rsidR="004B16AA" w:rsidRPr="00846B0F" w:rsidRDefault="0010384E" w:rsidP="00363730">
      <w:pPr>
        <w:spacing w:after="0" w:line="276" w:lineRule="auto"/>
        <w:rPr>
          <w:rFonts w:cs="Times New Roman"/>
          <w:sz w:val="24"/>
          <w:szCs w:val="24"/>
        </w:rPr>
      </w:pPr>
      <w:r w:rsidRPr="00846B0F">
        <w:rPr>
          <w:rFonts w:cs="Times New Roman"/>
          <w:b/>
          <w:bCs/>
          <w:noProof/>
          <w:sz w:val="24"/>
          <w:szCs w:val="24"/>
        </w:rPr>
        <w:drawing>
          <wp:anchor distT="0" distB="0" distL="114300" distR="114300" simplePos="0" relativeHeight="251657216" behindDoc="0" locked="0" layoutInCell="1" allowOverlap="1" wp14:anchorId="48E5FA81" wp14:editId="39C80B58">
            <wp:simplePos x="0" y="0"/>
            <wp:positionH relativeFrom="column">
              <wp:posOffset>4648200</wp:posOffset>
            </wp:positionH>
            <wp:positionV relativeFrom="paragraph">
              <wp:posOffset>0</wp:posOffset>
            </wp:positionV>
            <wp:extent cx="797560" cy="1579245"/>
            <wp:effectExtent l="0" t="0" r="254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7560" cy="15792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3DEA5D" w14:textId="77777777" w:rsidR="00E711D6" w:rsidRPr="00846B0F" w:rsidRDefault="0010384E" w:rsidP="00363730">
      <w:pPr>
        <w:spacing w:after="0" w:line="276" w:lineRule="auto"/>
        <w:rPr>
          <w:rFonts w:cs="Times New Roman"/>
          <w:sz w:val="24"/>
          <w:szCs w:val="24"/>
        </w:rPr>
      </w:pPr>
      <w:r w:rsidRPr="00846B0F">
        <w:rPr>
          <w:rFonts w:cs="Times New Roman"/>
          <w:sz w:val="24"/>
          <w:szCs w:val="24"/>
        </w:rPr>
        <w:tab/>
      </w:r>
      <w:r w:rsidRPr="00846B0F">
        <w:rPr>
          <w:rFonts w:cs="Times New Roman"/>
          <w:sz w:val="24"/>
          <w:szCs w:val="24"/>
        </w:rPr>
        <w:tab/>
      </w:r>
      <w:r w:rsidRPr="00846B0F">
        <w:rPr>
          <w:rFonts w:cs="Times New Roman"/>
          <w:sz w:val="24"/>
          <w:szCs w:val="24"/>
        </w:rPr>
        <w:tab/>
      </w:r>
      <w:r w:rsidRPr="00846B0F">
        <w:rPr>
          <w:rFonts w:cs="Times New Roman"/>
          <w:sz w:val="24"/>
          <w:szCs w:val="24"/>
        </w:rPr>
        <w:tab/>
      </w:r>
      <w:r w:rsidRPr="00846B0F">
        <w:rPr>
          <w:rFonts w:cs="Times New Roman"/>
          <w:sz w:val="24"/>
          <w:szCs w:val="24"/>
        </w:rPr>
        <w:tab/>
      </w:r>
    </w:p>
    <w:p w14:paraId="5254C6C1" w14:textId="77777777" w:rsidR="00E711D6" w:rsidRPr="00846B0F" w:rsidRDefault="00095B0B" w:rsidP="00363730">
      <w:pPr>
        <w:spacing w:after="0" w:line="276" w:lineRule="auto"/>
        <w:rPr>
          <w:rFonts w:cs="Times New Roman"/>
          <w:sz w:val="24"/>
          <w:szCs w:val="24"/>
        </w:rPr>
      </w:pPr>
      <w:r w:rsidRPr="00846B0F">
        <w:rPr>
          <w:rFonts w:cs="Times New Roman"/>
          <w:noProof/>
          <w:sz w:val="24"/>
          <w:szCs w:val="24"/>
        </w:rPr>
        <w:drawing>
          <wp:anchor distT="0" distB="0" distL="114300" distR="114300" simplePos="0" relativeHeight="251659264" behindDoc="1" locked="0" layoutInCell="1" allowOverlap="1" wp14:anchorId="4A67F8B3" wp14:editId="11BCBAAE">
            <wp:simplePos x="0" y="0"/>
            <wp:positionH relativeFrom="margin">
              <wp:posOffset>0</wp:posOffset>
            </wp:positionH>
            <wp:positionV relativeFrom="paragraph">
              <wp:posOffset>1905</wp:posOffset>
            </wp:positionV>
            <wp:extent cx="2030730" cy="926465"/>
            <wp:effectExtent l="0" t="0" r="7620" b="6985"/>
            <wp:wrapTight wrapText="bothSides">
              <wp:wrapPolygon edited="0">
                <wp:start x="0" y="0"/>
                <wp:lineTo x="0" y="21319"/>
                <wp:lineTo x="21478" y="21319"/>
                <wp:lineTo x="214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0730" cy="926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59B335" w14:textId="77777777" w:rsidR="00E711D6" w:rsidRPr="00846B0F" w:rsidRDefault="00E711D6" w:rsidP="00363730">
      <w:pPr>
        <w:pStyle w:val="Default"/>
        <w:spacing w:line="276" w:lineRule="auto"/>
        <w:rPr>
          <w:rFonts w:asciiTheme="minorHAnsi" w:hAnsiTheme="minorHAnsi" w:cs="Times New Roman"/>
        </w:rPr>
      </w:pPr>
    </w:p>
    <w:p w14:paraId="213CAA9C" w14:textId="77777777" w:rsidR="0010384E" w:rsidRPr="00846B0F" w:rsidRDefault="0010384E" w:rsidP="00363730">
      <w:pPr>
        <w:pStyle w:val="Default"/>
        <w:spacing w:line="276" w:lineRule="auto"/>
        <w:jc w:val="center"/>
        <w:rPr>
          <w:rFonts w:asciiTheme="minorHAnsi" w:hAnsiTheme="minorHAnsi" w:cs="Times New Roman"/>
          <w:b/>
          <w:bCs/>
        </w:rPr>
      </w:pPr>
    </w:p>
    <w:p w14:paraId="2F69D88C" w14:textId="77777777" w:rsidR="0010384E" w:rsidRPr="00846B0F" w:rsidRDefault="0010384E" w:rsidP="00363730">
      <w:pPr>
        <w:pStyle w:val="Default"/>
        <w:spacing w:line="276" w:lineRule="auto"/>
        <w:jc w:val="center"/>
        <w:rPr>
          <w:rFonts w:asciiTheme="minorHAnsi" w:hAnsiTheme="minorHAnsi" w:cs="Times New Roman"/>
          <w:b/>
          <w:bCs/>
        </w:rPr>
      </w:pPr>
    </w:p>
    <w:p w14:paraId="0AA53D57" w14:textId="77777777" w:rsidR="0010384E" w:rsidRPr="00846B0F" w:rsidRDefault="0010384E" w:rsidP="00363730">
      <w:pPr>
        <w:pStyle w:val="Default"/>
        <w:spacing w:line="276" w:lineRule="auto"/>
        <w:jc w:val="center"/>
        <w:rPr>
          <w:rFonts w:asciiTheme="minorHAnsi" w:hAnsiTheme="minorHAnsi" w:cs="Times New Roman"/>
          <w:b/>
          <w:bCs/>
        </w:rPr>
      </w:pPr>
    </w:p>
    <w:p w14:paraId="002EFB37" w14:textId="77777777" w:rsidR="0010384E" w:rsidRPr="00846B0F" w:rsidRDefault="0010384E" w:rsidP="00363730">
      <w:pPr>
        <w:pStyle w:val="Default"/>
        <w:spacing w:line="276" w:lineRule="auto"/>
        <w:jc w:val="center"/>
        <w:rPr>
          <w:rFonts w:asciiTheme="minorHAnsi" w:hAnsiTheme="minorHAnsi" w:cs="Times New Roman"/>
          <w:b/>
          <w:bCs/>
        </w:rPr>
      </w:pPr>
    </w:p>
    <w:p w14:paraId="256820D5" w14:textId="77777777" w:rsidR="0010384E" w:rsidRPr="00846B0F" w:rsidRDefault="0010384E" w:rsidP="00363730">
      <w:pPr>
        <w:pStyle w:val="Default"/>
        <w:spacing w:line="276" w:lineRule="auto"/>
        <w:jc w:val="center"/>
        <w:rPr>
          <w:rFonts w:asciiTheme="minorHAnsi" w:hAnsiTheme="minorHAnsi" w:cs="Times New Roman"/>
          <w:b/>
          <w:bCs/>
        </w:rPr>
      </w:pPr>
    </w:p>
    <w:p w14:paraId="26C05988" w14:textId="77777777" w:rsidR="0010384E" w:rsidRPr="00846B0F" w:rsidRDefault="0010384E" w:rsidP="00363730">
      <w:pPr>
        <w:pStyle w:val="Default"/>
        <w:spacing w:line="276" w:lineRule="auto"/>
        <w:jc w:val="center"/>
        <w:rPr>
          <w:rFonts w:asciiTheme="minorHAnsi" w:hAnsiTheme="minorHAnsi" w:cs="Times New Roman"/>
          <w:b/>
          <w:bCs/>
        </w:rPr>
      </w:pPr>
    </w:p>
    <w:p w14:paraId="3C378994" w14:textId="77777777" w:rsidR="0010384E" w:rsidRPr="00846B0F" w:rsidRDefault="0010384E" w:rsidP="00363730">
      <w:pPr>
        <w:pStyle w:val="Default"/>
        <w:spacing w:line="276" w:lineRule="auto"/>
        <w:jc w:val="center"/>
        <w:rPr>
          <w:rFonts w:asciiTheme="minorHAnsi" w:hAnsiTheme="minorHAnsi" w:cs="Times New Roman"/>
          <w:b/>
          <w:bCs/>
        </w:rPr>
      </w:pPr>
    </w:p>
    <w:p w14:paraId="39A5BE12" w14:textId="77777777" w:rsidR="0010384E" w:rsidRPr="00846B0F" w:rsidRDefault="0010384E" w:rsidP="00363730">
      <w:pPr>
        <w:pStyle w:val="Default"/>
        <w:spacing w:line="276" w:lineRule="auto"/>
        <w:jc w:val="center"/>
        <w:rPr>
          <w:rFonts w:asciiTheme="minorHAnsi" w:hAnsiTheme="minorHAnsi" w:cs="Times New Roman"/>
          <w:b/>
          <w:bCs/>
        </w:rPr>
      </w:pPr>
    </w:p>
    <w:p w14:paraId="26798112" w14:textId="77777777" w:rsidR="0010384E" w:rsidRPr="00846B0F" w:rsidRDefault="0010384E" w:rsidP="00363730">
      <w:pPr>
        <w:pStyle w:val="Default"/>
        <w:spacing w:line="276" w:lineRule="auto"/>
        <w:jc w:val="center"/>
        <w:rPr>
          <w:rFonts w:asciiTheme="minorHAnsi" w:hAnsiTheme="minorHAnsi" w:cs="Times New Roman"/>
          <w:b/>
          <w:bCs/>
        </w:rPr>
      </w:pPr>
    </w:p>
    <w:p w14:paraId="1E5962C9" w14:textId="77777777" w:rsidR="00AC35DF" w:rsidRPr="00846B0F" w:rsidRDefault="00AC35DF" w:rsidP="00363730">
      <w:pPr>
        <w:pStyle w:val="Default"/>
        <w:spacing w:line="276" w:lineRule="auto"/>
        <w:jc w:val="center"/>
        <w:rPr>
          <w:rFonts w:asciiTheme="minorHAnsi" w:hAnsiTheme="minorHAnsi" w:cs="Times New Roman"/>
          <w:b/>
          <w:bCs/>
        </w:rPr>
      </w:pPr>
    </w:p>
    <w:p w14:paraId="662F8B4A" w14:textId="77777777" w:rsidR="00AC35DF" w:rsidRPr="00846B0F" w:rsidRDefault="00AC35DF" w:rsidP="00363730">
      <w:pPr>
        <w:pStyle w:val="Default"/>
        <w:spacing w:line="276" w:lineRule="auto"/>
        <w:jc w:val="center"/>
        <w:rPr>
          <w:rFonts w:asciiTheme="minorHAnsi" w:hAnsiTheme="minorHAnsi" w:cs="Times New Roman"/>
          <w:b/>
          <w:bCs/>
        </w:rPr>
      </w:pPr>
    </w:p>
    <w:p w14:paraId="48FF80A8" w14:textId="77777777" w:rsidR="00AC35DF" w:rsidRPr="00846B0F" w:rsidRDefault="00AC35DF" w:rsidP="00363730">
      <w:pPr>
        <w:pStyle w:val="Default"/>
        <w:spacing w:line="276" w:lineRule="auto"/>
        <w:jc w:val="center"/>
        <w:rPr>
          <w:rFonts w:asciiTheme="minorHAnsi" w:hAnsiTheme="minorHAnsi" w:cs="Times New Roman"/>
          <w:b/>
          <w:bCs/>
        </w:rPr>
      </w:pPr>
    </w:p>
    <w:p w14:paraId="0CF780A8" w14:textId="77777777" w:rsidR="00FD68E2" w:rsidRPr="00846B0F" w:rsidRDefault="00362C26" w:rsidP="00363730">
      <w:pPr>
        <w:pStyle w:val="Default"/>
        <w:spacing w:line="276" w:lineRule="auto"/>
        <w:jc w:val="center"/>
        <w:rPr>
          <w:rFonts w:asciiTheme="minorHAnsi" w:hAnsiTheme="minorHAnsi" w:cs="Times New Roman"/>
          <w:b/>
          <w:bCs/>
        </w:rPr>
      </w:pPr>
      <w:r w:rsidRPr="00846B0F">
        <w:rPr>
          <w:rFonts w:asciiTheme="minorHAnsi" w:hAnsiTheme="minorHAnsi" w:cs="Times New Roman"/>
          <w:b/>
          <w:bCs/>
        </w:rPr>
        <w:t xml:space="preserve">Integrated Support Programme to the Devolution Process in Kenya </w:t>
      </w:r>
    </w:p>
    <w:p w14:paraId="0E0F556C" w14:textId="77777777" w:rsidR="00362C26" w:rsidRPr="00846B0F" w:rsidRDefault="00362C26" w:rsidP="00363730">
      <w:pPr>
        <w:pStyle w:val="Default"/>
        <w:spacing w:line="276" w:lineRule="auto"/>
        <w:jc w:val="center"/>
        <w:rPr>
          <w:rFonts w:asciiTheme="minorHAnsi" w:hAnsiTheme="minorHAnsi" w:cs="Times New Roman"/>
          <w:b/>
          <w:bCs/>
        </w:rPr>
      </w:pPr>
      <w:r w:rsidRPr="00846B0F">
        <w:rPr>
          <w:rFonts w:asciiTheme="minorHAnsi" w:hAnsiTheme="minorHAnsi" w:cs="Times New Roman"/>
          <w:b/>
          <w:bCs/>
        </w:rPr>
        <w:t>(2014 – 2018)</w:t>
      </w:r>
    </w:p>
    <w:p w14:paraId="7D4CC009" w14:textId="77777777" w:rsidR="00363730" w:rsidRPr="00846B0F" w:rsidRDefault="00363730" w:rsidP="00363730">
      <w:pPr>
        <w:pStyle w:val="Default"/>
        <w:spacing w:line="276" w:lineRule="auto"/>
        <w:jc w:val="center"/>
        <w:rPr>
          <w:rFonts w:asciiTheme="minorHAnsi" w:hAnsiTheme="minorHAnsi" w:cs="Times New Roman"/>
          <w:b/>
          <w:bCs/>
        </w:rPr>
      </w:pPr>
    </w:p>
    <w:p w14:paraId="04701521" w14:textId="77777777" w:rsidR="00E711D6" w:rsidRPr="00846B0F" w:rsidRDefault="00E711D6" w:rsidP="00363730">
      <w:pPr>
        <w:pStyle w:val="Default"/>
        <w:spacing w:line="276" w:lineRule="auto"/>
        <w:jc w:val="center"/>
        <w:rPr>
          <w:rFonts w:asciiTheme="minorHAnsi" w:hAnsiTheme="minorHAnsi" w:cs="Times New Roman"/>
        </w:rPr>
      </w:pPr>
      <w:r w:rsidRPr="00846B0F">
        <w:rPr>
          <w:rFonts w:asciiTheme="minorHAnsi" w:hAnsiTheme="minorHAnsi" w:cs="Times New Roman"/>
          <w:b/>
          <w:bCs/>
        </w:rPr>
        <w:t xml:space="preserve">Agreement Number: </w:t>
      </w:r>
      <w:r w:rsidR="00D60042" w:rsidRPr="00846B0F">
        <w:rPr>
          <w:rFonts w:asciiTheme="minorHAnsi" w:hAnsiTheme="minorHAnsi" w:cs="Times New Roman"/>
          <w:b/>
          <w:bCs/>
        </w:rPr>
        <w:t>KEN-14/0003</w:t>
      </w:r>
    </w:p>
    <w:p w14:paraId="5AE75034" w14:textId="77777777" w:rsidR="00E711D6" w:rsidRPr="00846B0F" w:rsidRDefault="00E711D6" w:rsidP="00363730">
      <w:pPr>
        <w:pStyle w:val="Default"/>
        <w:spacing w:line="276" w:lineRule="auto"/>
        <w:jc w:val="center"/>
        <w:rPr>
          <w:rFonts w:asciiTheme="minorHAnsi" w:hAnsiTheme="minorHAnsi" w:cs="Times New Roman"/>
          <w:b/>
          <w:bCs/>
        </w:rPr>
      </w:pPr>
    </w:p>
    <w:p w14:paraId="76FCC416" w14:textId="77777777" w:rsidR="00E711D6" w:rsidRPr="00846B0F" w:rsidRDefault="00E711D6" w:rsidP="00363730">
      <w:pPr>
        <w:pStyle w:val="Default"/>
        <w:spacing w:line="276" w:lineRule="auto"/>
        <w:jc w:val="center"/>
        <w:rPr>
          <w:rFonts w:asciiTheme="minorHAnsi" w:hAnsiTheme="minorHAnsi" w:cs="Times New Roman"/>
        </w:rPr>
      </w:pPr>
      <w:r w:rsidRPr="00846B0F">
        <w:rPr>
          <w:rFonts w:asciiTheme="minorHAnsi" w:hAnsiTheme="minorHAnsi" w:cs="Times New Roman"/>
          <w:b/>
          <w:bCs/>
        </w:rPr>
        <w:t>Progress Report</w:t>
      </w:r>
      <w:r w:rsidR="009A66AA">
        <w:rPr>
          <w:rFonts w:asciiTheme="minorHAnsi" w:hAnsiTheme="minorHAnsi" w:cs="Times New Roman"/>
          <w:b/>
          <w:bCs/>
        </w:rPr>
        <w:t xml:space="preserve"> </w:t>
      </w:r>
    </w:p>
    <w:p w14:paraId="59FB8118" w14:textId="77777777" w:rsidR="00E711D6" w:rsidRPr="00846B0F" w:rsidRDefault="00E711D6" w:rsidP="00363730">
      <w:pPr>
        <w:spacing w:after="0" w:line="276" w:lineRule="auto"/>
        <w:jc w:val="center"/>
        <w:rPr>
          <w:rFonts w:cs="Times New Roman"/>
          <w:bCs/>
          <w:sz w:val="24"/>
          <w:szCs w:val="24"/>
        </w:rPr>
      </w:pPr>
    </w:p>
    <w:p w14:paraId="20944E5C" w14:textId="77777777" w:rsidR="00A12B2E" w:rsidRPr="00846B0F" w:rsidRDefault="00A12B2E" w:rsidP="00363730">
      <w:pPr>
        <w:spacing w:after="0" w:line="276" w:lineRule="auto"/>
        <w:rPr>
          <w:rFonts w:cs="Times New Roman"/>
          <w:bCs/>
          <w:sz w:val="24"/>
          <w:szCs w:val="24"/>
        </w:rPr>
      </w:pPr>
    </w:p>
    <w:p w14:paraId="748EF4B0" w14:textId="77777777" w:rsidR="00A12B2E" w:rsidRPr="00846B0F" w:rsidRDefault="00A12B2E" w:rsidP="00363730">
      <w:pPr>
        <w:spacing w:after="0" w:line="276" w:lineRule="auto"/>
        <w:rPr>
          <w:rFonts w:cs="Times New Roman"/>
          <w:bCs/>
          <w:sz w:val="24"/>
          <w:szCs w:val="24"/>
        </w:rPr>
      </w:pPr>
    </w:p>
    <w:p w14:paraId="2B4DF8E7" w14:textId="77777777" w:rsidR="00A12B2E" w:rsidRPr="00846B0F" w:rsidRDefault="00A12B2E" w:rsidP="00363730">
      <w:pPr>
        <w:spacing w:after="0" w:line="276" w:lineRule="auto"/>
        <w:rPr>
          <w:rFonts w:cs="Times New Roman"/>
          <w:bCs/>
          <w:sz w:val="24"/>
          <w:szCs w:val="24"/>
        </w:rPr>
      </w:pPr>
    </w:p>
    <w:p w14:paraId="69527E39" w14:textId="77777777" w:rsidR="00A12B2E" w:rsidRPr="00846B0F" w:rsidRDefault="00A12B2E" w:rsidP="00363730">
      <w:pPr>
        <w:spacing w:after="0" w:line="276" w:lineRule="auto"/>
        <w:rPr>
          <w:rFonts w:cs="Times New Roman"/>
          <w:bCs/>
          <w:sz w:val="24"/>
          <w:szCs w:val="24"/>
        </w:rPr>
      </w:pPr>
    </w:p>
    <w:p w14:paraId="1CC1356A" w14:textId="77777777" w:rsidR="00A12B2E" w:rsidRPr="00846B0F" w:rsidRDefault="00A12B2E" w:rsidP="00363730">
      <w:pPr>
        <w:spacing w:after="0" w:line="276" w:lineRule="auto"/>
        <w:rPr>
          <w:rFonts w:cs="Times New Roman"/>
          <w:bCs/>
          <w:sz w:val="24"/>
          <w:szCs w:val="24"/>
        </w:rPr>
      </w:pPr>
    </w:p>
    <w:p w14:paraId="3B2ADBC8" w14:textId="77777777" w:rsidR="00A12B2E" w:rsidRPr="00846B0F" w:rsidRDefault="00A12B2E" w:rsidP="00363730">
      <w:pPr>
        <w:spacing w:after="0" w:line="276" w:lineRule="auto"/>
        <w:rPr>
          <w:rFonts w:cs="Times New Roman"/>
          <w:bCs/>
          <w:sz w:val="24"/>
          <w:szCs w:val="24"/>
        </w:rPr>
      </w:pPr>
    </w:p>
    <w:p w14:paraId="763E4AF0" w14:textId="77777777" w:rsidR="00A12B2E" w:rsidRPr="00846B0F" w:rsidRDefault="00A12B2E" w:rsidP="00363730">
      <w:pPr>
        <w:spacing w:after="0" w:line="276" w:lineRule="auto"/>
        <w:rPr>
          <w:rFonts w:cs="Times New Roman"/>
          <w:bCs/>
          <w:sz w:val="24"/>
          <w:szCs w:val="24"/>
        </w:rPr>
      </w:pPr>
    </w:p>
    <w:p w14:paraId="4ECDDDBC" w14:textId="77777777" w:rsidR="00A12B2E" w:rsidRPr="00846B0F" w:rsidRDefault="00A12B2E" w:rsidP="00363730">
      <w:pPr>
        <w:spacing w:after="0" w:line="276" w:lineRule="auto"/>
        <w:rPr>
          <w:rFonts w:cs="Times New Roman"/>
          <w:bCs/>
          <w:sz w:val="24"/>
          <w:szCs w:val="24"/>
        </w:rPr>
      </w:pPr>
    </w:p>
    <w:p w14:paraId="4AC05B93" w14:textId="77777777" w:rsidR="00EF5A28" w:rsidRPr="00846B0F" w:rsidRDefault="00EF5A28" w:rsidP="00363730">
      <w:pPr>
        <w:spacing w:after="0" w:line="276" w:lineRule="auto"/>
        <w:rPr>
          <w:rFonts w:cs="Times New Roman"/>
          <w:bCs/>
          <w:sz w:val="24"/>
          <w:szCs w:val="24"/>
        </w:rPr>
      </w:pPr>
    </w:p>
    <w:p w14:paraId="5085EDEB" w14:textId="77777777" w:rsidR="00EF5A28" w:rsidRPr="00846B0F" w:rsidRDefault="00EF5A28" w:rsidP="00363730">
      <w:pPr>
        <w:spacing w:after="0" w:line="276" w:lineRule="auto"/>
        <w:rPr>
          <w:rFonts w:cs="Times New Roman"/>
          <w:bCs/>
          <w:sz w:val="24"/>
          <w:szCs w:val="24"/>
        </w:rPr>
      </w:pPr>
    </w:p>
    <w:p w14:paraId="3D053034" w14:textId="77777777" w:rsidR="001334D1" w:rsidRPr="00846B0F" w:rsidRDefault="001334D1" w:rsidP="00363730">
      <w:pPr>
        <w:spacing w:after="0" w:line="276" w:lineRule="auto"/>
        <w:jc w:val="right"/>
        <w:rPr>
          <w:rFonts w:cs="Times New Roman"/>
          <w:b/>
          <w:bCs/>
          <w:sz w:val="24"/>
          <w:szCs w:val="24"/>
        </w:rPr>
      </w:pPr>
    </w:p>
    <w:p w14:paraId="0B1720F2" w14:textId="77777777" w:rsidR="001334D1" w:rsidRPr="00846B0F" w:rsidRDefault="001334D1" w:rsidP="00363730">
      <w:pPr>
        <w:spacing w:after="0" w:line="276" w:lineRule="auto"/>
        <w:jc w:val="right"/>
        <w:rPr>
          <w:rFonts w:cs="Times New Roman"/>
          <w:b/>
          <w:bCs/>
          <w:sz w:val="24"/>
          <w:szCs w:val="24"/>
        </w:rPr>
      </w:pPr>
    </w:p>
    <w:p w14:paraId="1157A687" w14:textId="77777777" w:rsidR="001334D1" w:rsidRPr="00846B0F" w:rsidRDefault="001334D1" w:rsidP="00363730">
      <w:pPr>
        <w:spacing w:after="0" w:line="276" w:lineRule="auto"/>
        <w:jc w:val="right"/>
        <w:rPr>
          <w:rFonts w:cs="Times New Roman"/>
          <w:b/>
          <w:bCs/>
          <w:sz w:val="24"/>
          <w:szCs w:val="24"/>
        </w:rPr>
      </w:pPr>
    </w:p>
    <w:p w14:paraId="6A9C4EE0" w14:textId="77777777" w:rsidR="001334D1" w:rsidRPr="00846B0F" w:rsidRDefault="001334D1" w:rsidP="00363730">
      <w:pPr>
        <w:spacing w:after="0" w:line="276" w:lineRule="auto"/>
        <w:jc w:val="right"/>
        <w:rPr>
          <w:rFonts w:cs="Times New Roman"/>
          <w:b/>
          <w:bCs/>
          <w:sz w:val="24"/>
          <w:szCs w:val="24"/>
        </w:rPr>
      </w:pPr>
    </w:p>
    <w:p w14:paraId="098ACC4F" w14:textId="77777777" w:rsidR="00363730" w:rsidRPr="00846B0F" w:rsidRDefault="00363730" w:rsidP="00363730">
      <w:pPr>
        <w:spacing w:after="0" w:line="276" w:lineRule="auto"/>
        <w:rPr>
          <w:rFonts w:cs="Times New Roman"/>
          <w:b/>
          <w:bCs/>
          <w:sz w:val="24"/>
          <w:szCs w:val="24"/>
        </w:rPr>
      </w:pPr>
    </w:p>
    <w:p w14:paraId="2CCC9983" w14:textId="77777777" w:rsidR="00EF5A28" w:rsidRPr="00846B0F" w:rsidRDefault="00AB4355" w:rsidP="00095B0B">
      <w:pPr>
        <w:spacing w:after="0" w:line="276" w:lineRule="auto"/>
        <w:jc w:val="right"/>
        <w:rPr>
          <w:rFonts w:cs="Times New Roman"/>
          <w:b/>
          <w:bCs/>
          <w:i/>
          <w:sz w:val="24"/>
          <w:szCs w:val="24"/>
        </w:rPr>
      </w:pPr>
      <w:r w:rsidRPr="00846B0F">
        <w:rPr>
          <w:rFonts w:cs="Times New Roman"/>
          <w:b/>
          <w:bCs/>
          <w:i/>
          <w:sz w:val="24"/>
          <w:szCs w:val="24"/>
        </w:rPr>
        <w:t>March</w:t>
      </w:r>
      <w:r w:rsidR="00120E1E" w:rsidRPr="00846B0F">
        <w:rPr>
          <w:rFonts w:cs="Times New Roman"/>
          <w:b/>
          <w:bCs/>
          <w:i/>
          <w:sz w:val="24"/>
          <w:szCs w:val="24"/>
        </w:rPr>
        <w:t xml:space="preserve"> </w:t>
      </w:r>
      <w:r w:rsidR="00A12B2E" w:rsidRPr="00846B0F">
        <w:rPr>
          <w:rFonts w:cs="Times New Roman"/>
          <w:b/>
          <w:bCs/>
          <w:i/>
          <w:sz w:val="24"/>
          <w:szCs w:val="24"/>
        </w:rPr>
        <w:t>201</w:t>
      </w:r>
      <w:r w:rsidRPr="00846B0F">
        <w:rPr>
          <w:rFonts w:cs="Times New Roman"/>
          <w:b/>
          <w:bCs/>
          <w:i/>
          <w:sz w:val="24"/>
          <w:szCs w:val="24"/>
        </w:rPr>
        <w:t>6</w:t>
      </w:r>
    </w:p>
    <w:p w14:paraId="402A13E0" w14:textId="77777777" w:rsidR="00EF5A28" w:rsidRPr="00846B0F" w:rsidRDefault="00EF5A28" w:rsidP="00095B0B">
      <w:pPr>
        <w:spacing w:after="0" w:line="276" w:lineRule="auto"/>
        <w:jc w:val="right"/>
        <w:rPr>
          <w:rFonts w:cs="Times New Roman"/>
          <w:bCs/>
          <w:i/>
          <w:sz w:val="24"/>
          <w:szCs w:val="24"/>
        </w:rPr>
        <w:sectPr w:rsidR="00EF5A28" w:rsidRPr="00846B0F" w:rsidSect="009505D8">
          <w:pgSz w:w="11907" w:h="16839" w:code="9"/>
          <w:pgMar w:top="1440" w:right="1440" w:bottom="1440" w:left="1440" w:header="720" w:footer="720" w:gutter="0"/>
          <w:cols w:space="720"/>
          <w:docGrid w:linePitch="360"/>
        </w:sectPr>
      </w:pPr>
    </w:p>
    <w:p w14:paraId="294957AF" w14:textId="77777777" w:rsidR="009505D8" w:rsidRPr="00846B0F" w:rsidRDefault="009505D8" w:rsidP="00363730">
      <w:pPr>
        <w:spacing w:after="0" w:line="276" w:lineRule="auto"/>
        <w:rPr>
          <w:rFonts w:cs="Times New Roman"/>
          <w:b/>
          <w:bCs/>
          <w:sz w:val="24"/>
          <w:szCs w:val="24"/>
        </w:rPr>
      </w:pPr>
    </w:p>
    <w:p w14:paraId="7DB5B035" w14:textId="77777777" w:rsidR="009505D8" w:rsidRPr="00846B0F" w:rsidRDefault="009505D8" w:rsidP="00363730">
      <w:pPr>
        <w:spacing w:after="0" w:line="276" w:lineRule="auto"/>
        <w:rPr>
          <w:rFonts w:cs="Times New Roman"/>
          <w:b/>
          <w:bCs/>
          <w:sz w:val="24"/>
          <w:szCs w:val="24"/>
        </w:rPr>
      </w:pPr>
    </w:p>
    <w:p w14:paraId="3E35E714" w14:textId="77777777" w:rsidR="00E711D6" w:rsidRPr="00846B0F" w:rsidRDefault="00E711D6" w:rsidP="00363730">
      <w:pPr>
        <w:spacing w:after="0" w:line="276" w:lineRule="auto"/>
        <w:rPr>
          <w:rFonts w:cs="Times New Roman"/>
          <w:bCs/>
          <w:sz w:val="24"/>
          <w:szCs w:val="24"/>
        </w:rPr>
      </w:pPr>
      <w:r w:rsidRPr="00846B0F">
        <w:rPr>
          <w:rFonts w:cs="Times New Roman"/>
          <w:b/>
          <w:bCs/>
          <w:sz w:val="24"/>
          <w:szCs w:val="24"/>
        </w:rPr>
        <w:t>Table of Contents</w:t>
      </w:r>
    </w:p>
    <w:p w14:paraId="34EEADA1" w14:textId="77777777" w:rsidR="00E711D6" w:rsidRPr="00846B0F" w:rsidRDefault="00E711D6" w:rsidP="00363730">
      <w:pPr>
        <w:spacing w:after="0" w:line="276" w:lineRule="auto"/>
        <w:rPr>
          <w:rFonts w:cs="Times New Roman"/>
          <w:bCs/>
          <w:sz w:val="24"/>
          <w:szCs w:val="24"/>
        </w:rPr>
      </w:pPr>
    </w:p>
    <w:p w14:paraId="4387B847" w14:textId="77777777" w:rsidR="00291E3E" w:rsidRDefault="009505D8">
      <w:pPr>
        <w:pStyle w:val="TOC1"/>
        <w:tabs>
          <w:tab w:val="right" w:leader="dot" w:pos="9737"/>
        </w:tabs>
        <w:rPr>
          <w:rFonts w:eastAsiaTheme="minorEastAsia"/>
          <w:noProof/>
        </w:rPr>
      </w:pPr>
      <w:r w:rsidRPr="00846B0F">
        <w:rPr>
          <w:rFonts w:cs="Times New Roman"/>
          <w:bCs/>
          <w:sz w:val="24"/>
          <w:szCs w:val="24"/>
        </w:rPr>
        <w:fldChar w:fldCharType="begin"/>
      </w:r>
      <w:r w:rsidRPr="00846B0F">
        <w:rPr>
          <w:rFonts w:cs="Times New Roman"/>
          <w:bCs/>
          <w:sz w:val="24"/>
          <w:szCs w:val="24"/>
        </w:rPr>
        <w:instrText xml:space="preserve"> TOC \h \z \t "Norway 1,1,Norway 2,2" </w:instrText>
      </w:r>
      <w:r w:rsidRPr="00846B0F">
        <w:rPr>
          <w:rFonts w:cs="Times New Roman"/>
          <w:bCs/>
          <w:sz w:val="24"/>
          <w:szCs w:val="24"/>
        </w:rPr>
        <w:fldChar w:fldCharType="separate"/>
      </w:r>
      <w:hyperlink w:anchor="_Toc447029776" w:history="1">
        <w:r w:rsidR="00291E3E" w:rsidRPr="00EC10D1">
          <w:rPr>
            <w:rStyle w:val="Hyperlink"/>
            <w:rFonts w:cs="Times New Roman"/>
            <w:noProof/>
          </w:rPr>
          <w:t>Acronyms</w:t>
        </w:r>
        <w:r w:rsidR="00291E3E">
          <w:rPr>
            <w:noProof/>
            <w:webHidden/>
          </w:rPr>
          <w:tab/>
        </w:r>
        <w:r w:rsidR="00291E3E">
          <w:rPr>
            <w:noProof/>
            <w:webHidden/>
          </w:rPr>
          <w:fldChar w:fldCharType="begin"/>
        </w:r>
        <w:r w:rsidR="00291E3E">
          <w:rPr>
            <w:noProof/>
            <w:webHidden/>
          </w:rPr>
          <w:instrText xml:space="preserve"> PAGEREF _Toc447029776 \h </w:instrText>
        </w:r>
        <w:r w:rsidR="00291E3E">
          <w:rPr>
            <w:noProof/>
            <w:webHidden/>
          </w:rPr>
        </w:r>
        <w:r w:rsidR="00291E3E">
          <w:rPr>
            <w:noProof/>
            <w:webHidden/>
          </w:rPr>
          <w:fldChar w:fldCharType="separate"/>
        </w:r>
        <w:r w:rsidR="00602113">
          <w:rPr>
            <w:noProof/>
            <w:webHidden/>
          </w:rPr>
          <w:t>iii</w:t>
        </w:r>
        <w:r w:rsidR="00291E3E">
          <w:rPr>
            <w:noProof/>
            <w:webHidden/>
          </w:rPr>
          <w:fldChar w:fldCharType="end"/>
        </w:r>
      </w:hyperlink>
    </w:p>
    <w:p w14:paraId="48B55DE0" w14:textId="77777777" w:rsidR="00291E3E" w:rsidRDefault="00602113">
      <w:pPr>
        <w:pStyle w:val="TOC1"/>
        <w:tabs>
          <w:tab w:val="right" w:leader="dot" w:pos="9737"/>
        </w:tabs>
        <w:rPr>
          <w:rFonts w:eastAsiaTheme="minorEastAsia"/>
          <w:noProof/>
        </w:rPr>
      </w:pPr>
      <w:hyperlink w:anchor="_Toc447029777" w:history="1">
        <w:r w:rsidR="00291E3E" w:rsidRPr="00EC10D1">
          <w:rPr>
            <w:rStyle w:val="Hyperlink"/>
            <w:rFonts w:cs="Times New Roman"/>
            <w:noProof/>
          </w:rPr>
          <w:t>Executive Summary</w:t>
        </w:r>
        <w:r w:rsidR="00291E3E">
          <w:rPr>
            <w:noProof/>
            <w:webHidden/>
          </w:rPr>
          <w:tab/>
        </w:r>
        <w:r w:rsidR="00291E3E">
          <w:rPr>
            <w:noProof/>
            <w:webHidden/>
          </w:rPr>
          <w:fldChar w:fldCharType="begin"/>
        </w:r>
        <w:r w:rsidR="00291E3E">
          <w:rPr>
            <w:noProof/>
            <w:webHidden/>
          </w:rPr>
          <w:instrText xml:space="preserve"> PAGEREF _Toc447029777 \h </w:instrText>
        </w:r>
        <w:r w:rsidR="00291E3E">
          <w:rPr>
            <w:noProof/>
            <w:webHidden/>
          </w:rPr>
        </w:r>
        <w:r w:rsidR="00291E3E">
          <w:rPr>
            <w:noProof/>
            <w:webHidden/>
          </w:rPr>
          <w:fldChar w:fldCharType="separate"/>
        </w:r>
        <w:r>
          <w:rPr>
            <w:noProof/>
            <w:webHidden/>
          </w:rPr>
          <w:t>1</w:t>
        </w:r>
        <w:r w:rsidR="00291E3E">
          <w:rPr>
            <w:noProof/>
            <w:webHidden/>
          </w:rPr>
          <w:fldChar w:fldCharType="end"/>
        </w:r>
      </w:hyperlink>
    </w:p>
    <w:p w14:paraId="70DF2B4B" w14:textId="77777777" w:rsidR="00291E3E" w:rsidRDefault="00602113">
      <w:pPr>
        <w:pStyle w:val="TOC2"/>
        <w:tabs>
          <w:tab w:val="left" w:pos="660"/>
          <w:tab w:val="right" w:leader="dot" w:pos="9737"/>
        </w:tabs>
        <w:rPr>
          <w:rFonts w:eastAsiaTheme="minorEastAsia"/>
          <w:noProof/>
        </w:rPr>
      </w:pPr>
      <w:hyperlink w:anchor="_Toc447029778" w:history="1">
        <w:r w:rsidR="00291E3E" w:rsidRPr="00EC10D1">
          <w:rPr>
            <w:rStyle w:val="Hyperlink"/>
            <w:rFonts w:cs="Times New Roman"/>
            <w:noProof/>
          </w:rPr>
          <w:t>1.</w:t>
        </w:r>
        <w:r w:rsidR="00291E3E">
          <w:rPr>
            <w:rFonts w:eastAsiaTheme="minorEastAsia"/>
            <w:noProof/>
          </w:rPr>
          <w:tab/>
        </w:r>
        <w:r w:rsidR="00291E3E" w:rsidRPr="00EC10D1">
          <w:rPr>
            <w:rStyle w:val="Hyperlink"/>
            <w:rFonts w:cs="Times New Roman"/>
            <w:noProof/>
          </w:rPr>
          <w:t>Introduction</w:t>
        </w:r>
        <w:r w:rsidR="00291E3E">
          <w:rPr>
            <w:noProof/>
            <w:webHidden/>
          </w:rPr>
          <w:tab/>
        </w:r>
        <w:r w:rsidR="00291E3E">
          <w:rPr>
            <w:noProof/>
            <w:webHidden/>
          </w:rPr>
          <w:fldChar w:fldCharType="begin"/>
        </w:r>
        <w:r w:rsidR="00291E3E">
          <w:rPr>
            <w:noProof/>
            <w:webHidden/>
          </w:rPr>
          <w:instrText xml:space="preserve"> PAGEREF _Toc447029778 \h </w:instrText>
        </w:r>
        <w:r w:rsidR="00291E3E">
          <w:rPr>
            <w:noProof/>
            <w:webHidden/>
          </w:rPr>
        </w:r>
        <w:r w:rsidR="00291E3E">
          <w:rPr>
            <w:noProof/>
            <w:webHidden/>
          </w:rPr>
          <w:fldChar w:fldCharType="separate"/>
        </w:r>
        <w:r>
          <w:rPr>
            <w:noProof/>
            <w:webHidden/>
          </w:rPr>
          <w:t>2</w:t>
        </w:r>
        <w:r w:rsidR="00291E3E">
          <w:rPr>
            <w:noProof/>
            <w:webHidden/>
          </w:rPr>
          <w:fldChar w:fldCharType="end"/>
        </w:r>
      </w:hyperlink>
    </w:p>
    <w:p w14:paraId="3C8CE30B" w14:textId="77777777" w:rsidR="00291E3E" w:rsidRDefault="00602113">
      <w:pPr>
        <w:pStyle w:val="TOC2"/>
        <w:tabs>
          <w:tab w:val="left" w:pos="660"/>
          <w:tab w:val="right" w:leader="dot" w:pos="9737"/>
        </w:tabs>
        <w:rPr>
          <w:rFonts w:eastAsiaTheme="minorEastAsia"/>
          <w:noProof/>
        </w:rPr>
      </w:pPr>
      <w:hyperlink w:anchor="_Toc447029779" w:history="1">
        <w:r w:rsidR="00291E3E" w:rsidRPr="00EC10D1">
          <w:rPr>
            <w:rStyle w:val="Hyperlink"/>
            <w:rFonts w:cs="Times New Roman"/>
            <w:noProof/>
          </w:rPr>
          <w:t>2.</w:t>
        </w:r>
        <w:r w:rsidR="00291E3E">
          <w:rPr>
            <w:rFonts w:eastAsiaTheme="minorEastAsia"/>
            <w:noProof/>
          </w:rPr>
          <w:tab/>
        </w:r>
        <w:r w:rsidR="00291E3E" w:rsidRPr="00EC10D1">
          <w:rPr>
            <w:rStyle w:val="Hyperlink"/>
            <w:rFonts w:cs="Times New Roman"/>
            <w:noProof/>
          </w:rPr>
          <w:t xml:space="preserve">Country </w:t>
        </w:r>
        <w:bookmarkStart w:id="0" w:name="_GoBack"/>
        <w:bookmarkEnd w:id="0"/>
        <w:r w:rsidR="00291E3E" w:rsidRPr="00EC10D1">
          <w:rPr>
            <w:rStyle w:val="Hyperlink"/>
            <w:rFonts w:cs="Times New Roman"/>
            <w:noProof/>
          </w:rPr>
          <w:t>Context</w:t>
        </w:r>
        <w:r w:rsidR="00291E3E">
          <w:rPr>
            <w:noProof/>
            <w:webHidden/>
          </w:rPr>
          <w:tab/>
        </w:r>
        <w:r w:rsidR="00291E3E">
          <w:rPr>
            <w:noProof/>
            <w:webHidden/>
          </w:rPr>
          <w:fldChar w:fldCharType="begin"/>
        </w:r>
        <w:r w:rsidR="00291E3E">
          <w:rPr>
            <w:noProof/>
            <w:webHidden/>
          </w:rPr>
          <w:instrText xml:space="preserve"> PAGEREF _Toc447029779 \h </w:instrText>
        </w:r>
        <w:r w:rsidR="00291E3E">
          <w:rPr>
            <w:noProof/>
            <w:webHidden/>
          </w:rPr>
        </w:r>
        <w:r w:rsidR="00291E3E">
          <w:rPr>
            <w:noProof/>
            <w:webHidden/>
          </w:rPr>
          <w:fldChar w:fldCharType="separate"/>
        </w:r>
        <w:r>
          <w:rPr>
            <w:noProof/>
            <w:webHidden/>
          </w:rPr>
          <w:t>3</w:t>
        </w:r>
        <w:r w:rsidR="00291E3E">
          <w:rPr>
            <w:noProof/>
            <w:webHidden/>
          </w:rPr>
          <w:fldChar w:fldCharType="end"/>
        </w:r>
      </w:hyperlink>
    </w:p>
    <w:p w14:paraId="03EEEE26" w14:textId="77777777" w:rsidR="00291E3E" w:rsidRDefault="00602113">
      <w:pPr>
        <w:pStyle w:val="TOC2"/>
        <w:tabs>
          <w:tab w:val="left" w:pos="660"/>
          <w:tab w:val="right" w:leader="dot" w:pos="9737"/>
        </w:tabs>
        <w:rPr>
          <w:rFonts w:eastAsiaTheme="minorEastAsia"/>
          <w:noProof/>
        </w:rPr>
      </w:pPr>
      <w:hyperlink w:anchor="_Toc447029780" w:history="1">
        <w:r w:rsidR="00291E3E" w:rsidRPr="00EC10D1">
          <w:rPr>
            <w:rStyle w:val="Hyperlink"/>
            <w:rFonts w:cs="Times New Roman"/>
            <w:noProof/>
          </w:rPr>
          <w:t>3.</w:t>
        </w:r>
        <w:r w:rsidR="00291E3E">
          <w:rPr>
            <w:rFonts w:eastAsiaTheme="minorEastAsia"/>
            <w:noProof/>
          </w:rPr>
          <w:tab/>
        </w:r>
        <w:r w:rsidR="00291E3E" w:rsidRPr="00EC10D1">
          <w:rPr>
            <w:rStyle w:val="Hyperlink"/>
            <w:rFonts w:cs="Times New Roman"/>
            <w:noProof/>
          </w:rPr>
          <w:t>Project Implementation and Achievements</w:t>
        </w:r>
        <w:r w:rsidR="00291E3E">
          <w:rPr>
            <w:noProof/>
            <w:webHidden/>
          </w:rPr>
          <w:tab/>
        </w:r>
        <w:r w:rsidR="00291E3E">
          <w:rPr>
            <w:noProof/>
            <w:webHidden/>
          </w:rPr>
          <w:fldChar w:fldCharType="begin"/>
        </w:r>
        <w:r w:rsidR="00291E3E">
          <w:rPr>
            <w:noProof/>
            <w:webHidden/>
          </w:rPr>
          <w:instrText xml:space="preserve"> PAGEREF _Toc447029780 \h </w:instrText>
        </w:r>
        <w:r w:rsidR="00291E3E">
          <w:rPr>
            <w:noProof/>
            <w:webHidden/>
          </w:rPr>
        </w:r>
        <w:r w:rsidR="00291E3E">
          <w:rPr>
            <w:noProof/>
            <w:webHidden/>
          </w:rPr>
          <w:fldChar w:fldCharType="separate"/>
        </w:r>
        <w:r>
          <w:rPr>
            <w:noProof/>
            <w:webHidden/>
          </w:rPr>
          <w:t>5</w:t>
        </w:r>
        <w:r w:rsidR="00291E3E">
          <w:rPr>
            <w:noProof/>
            <w:webHidden/>
          </w:rPr>
          <w:fldChar w:fldCharType="end"/>
        </w:r>
      </w:hyperlink>
    </w:p>
    <w:p w14:paraId="0032D06C" w14:textId="77777777" w:rsidR="00291E3E" w:rsidRDefault="00602113">
      <w:pPr>
        <w:pStyle w:val="TOC2"/>
        <w:tabs>
          <w:tab w:val="left" w:pos="660"/>
          <w:tab w:val="right" w:leader="dot" w:pos="9737"/>
        </w:tabs>
        <w:rPr>
          <w:rFonts w:eastAsiaTheme="minorEastAsia"/>
          <w:noProof/>
        </w:rPr>
      </w:pPr>
      <w:hyperlink w:anchor="_Toc447029781" w:history="1">
        <w:r w:rsidR="00291E3E" w:rsidRPr="00EC10D1">
          <w:rPr>
            <w:rStyle w:val="Hyperlink"/>
            <w:rFonts w:cs="Times New Roman"/>
            <w:noProof/>
          </w:rPr>
          <w:t>4.</w:t>
        </w:r>
        <w:r w:rsidR="00291E3E">
          <w:rPr>
            <w:rFonts w:eastAsiaTheme="minorEastAsia"/>
            <w:noProof/>
          </w:rPr>
          <w:tab/>
        </w:r>
        <w:r w:rsidR="00291E3E" w:rsidRPr="00EC10D1">
          <w:rPr>
            <w:rStyle w:val="Hyperlink"/>
            <w:rFonts w:cs="Times New Roman"/>
            <w:noProof/>
          </w:rPr>
          <w:t>Resource Utilization</w:t>
        </w:r>
        <w:r w:rsidR="00291E3E">
          <w:rPr>
            <w:noProof/>
            <w:webHidden/>
          </w:rPr>
          <w:tab/>
        </w:r>
        <w:r w:rsidR="00291E3E">
          <w:rPr>
            <w:noProof/>
            <w:webHidden/>
          </w:rPr>
          <w:fldChar w:fldCharType="begin"/>
        </w:r>
        <w:r w:rsidR="00291E3E">
          <w:rPr>
            <w:noProof/>
            <w:webHidden/>
          </w:rPr>
          <w:instrText xml:space="preserve"> PAGEREF _Toc447029781 \h </w:instrText>
        </w:r>
        <w:r w:rsidR="00291E3E">
          <w:rPr>
            <w:noProof/>
            <w:webHidden/>
          </w:rPr>
        </w:r>
        <w:r w:rsidR="00291E3E">
          <w:rPr>
            <w:noProof/>
            <w:webHidden/>
          </w:rPr>
          <w:fldChar w:fldCharType="separate"/>
        </w:r>
        <w:r>
          <w:rPr>
            <w:noProof/>
            <w:webHidden/>
          </w:rPr>
          <w:t>10</w:t>
        </w:r>
        <w:r w:rsidR="00291E3E">
          <w:rPr>
            <w:noProof/>
            <w:webHidden/>
          </w:rPr>
          <w:fldChar w:fldCharType="end"/>
        </w:r>
      </w:hyperlink>
    </w:p>
    <w:p w14:paraId="38725D95" w14:textId="77777777" w:rsidR="00291E3E" w:rsidRDefault="00602113">
      <w:pPr>
        <w:pStyle w:val="TOC2"/>
        <w:tabs>
          <w:tab w:val="left" w:pos="660"/>
          <w:tab w:val="right" w:leader="dot" w:pos="9737"/>
        </w:tabs>
        <w:rPr>
          <w:rFonts w:eastAsiaTheme="minorEastAsia"/>
          <w:noProof/>
        </w:rPr>
      </w:pPr>
      <w:hyperlink w:anchor="_Toc447029782" w:history="1">
        <w:r w:rsidR="00291E3E" w:rsidRPr="00EC10D1">
          <w:rPr>
            <w:rStyle w:val="Hyperlink"/>
            <w:rFonts w:cs="Times New Roman"/>
            <w:noProof/>
          </w:rPr>
          <w:t>5.</w:t>
        </w:r>
        <w:r w:rsidR="00291E3E">
          <w:rPr>
            <w:rFonts w:eastAsiaTheme="minorEastAsia"/>
            <w:noProof/>
          </w:rPr>
          <w:tab/>
        </w:r>
        <w:r w:rsidR="00291E3E" w:rsidRPr="00EC10D1">
          <w:rPr>
            <w:rStyle w:val="Hyperlink"/>
            <w:rFonts w:cs="Times New Roman"/>
            <w:noProof/>
          </w:rPr>
          <w:t>Challenges and Lessons Learned</w:t>
        </w:r>
        <w:r w:rsidR="00291E3E">
          <w:rPr>
            <w:noProof/>
            <w:webHidden/>
          </w:rPr>
          <w:tab/>
        </w:r>
        <w:r w:rsidR="00291E3E">
          <w:rPr>
            <w:noProof/>
            <w:webHidden/>
          </w:rPr>
          <w:fldChar w:fldCharType="begin"/>
        </w:r>
        <w:r w:rsidR="00291E3E">
          <w:rPr>
            <w:noProof/>
            <w:webHidden/>
          </w:rPr>
          <w:instrText xml:space="preserve"> PAGEREF _Toc447029782 \h </w:instrText>
        </w:r>
        <w:r w:rsidR="00291E3E">
          <w:rPr>
            <w:noProof/>
            <w:webHidden/>
          </w:rPr>
        </w:r>
        <w:r w:rsidR="00291E3E">
          <w:rPr>
            <w:noProof/>
            <w:webHidden/>
          </w:rPr>
          <w:fldChar w:fldCharType="separate"/>
        </w:r>
        <w:r>
          <w:rPr>
            <w:noProof/>
            <w:webHidden/>
          </w:rPr>
          <w:t>12</w:t>
        </w:r>
        <w:r w:rsidR="00291E3E">
          <w:rPr>
            <w:noProof/>
            <w:webHidden/>
          </w:rPr>
          <w:fldChar w:fldCharType="end"/>
        </w:r>
      </w:hyperlink>
    </w:p>
    <w:p w14:paraId="167CE643" w14:textId="77777777" w:rsidR="00291E3E" w:rsidRDefault="00602113">
      <w:pPr>
        <w:pStyle w:val="TOC2"/>
        <w:tabs>
          <w:tab w:val="left" w:pos="660"/>
          <w:tab w:val="right" w:leader="dot" w:pos="9737"/>
        </w:tabs>
        <w:rPr>
          <w:rFonts w:eastAsiaTheme="minorEastAsia"/>
          <w:noProof/>
        </w:rPr>
      </w:pPr>
      <w:hyperlink w:anchor="_Toc447029783" w:history="1">
        <w:r w:rsidR="00291E3E" w:rsidRPr="00EC10D1">
          <w:rPr>
            <w:rStyle w:val="Hyperlink"/>
            <w:rFonts w:cs="Times New Roman"/>
            <w:noProof/>
          </w:rPr>
          <w:t>6.</w:t>
        </w:r>
        <w:r w:rsidR="00291E3E">
          <w:rPr>
            <w:rFonts w:eastAsiaTheme="minorEastAsia"/>
            <w:noProof/>
          </w:rPr>
          <w:tab/>
        </w:r>
        <w:r w:rsidR="00291E3E" w:rsidRPr="00EC10D1">
          <w:rPr>
            <w:rStyle w:val="Hyperlink"/>
            <w:rFonts w:cs="Times New Roman"/>
            <w:noProof/>
          </w:rPr>
          <w:t>Risks and Assumptions</w:t>
        </w:r>
        <w:r w:rsidR="00291E3E">
          <w:rPr>
            <w:noProof/>
            <w:webHidden/>
          </w:rPr>
          <w:tab/>
        </w:r>
        <w:r w:rsidR="00291E3E">
          <w:rPr>
            <w:noProof/>
            <w:webHidden/>
          </w:rPr>
          <w:fldChar w:fldCharType="begin"/>
        </w:r>
        <w:r w:rsidR="00291E3E">
          <w:rPr>
            <w:noProof/>
            <w:webHidden/>
          </w:rPr>
          <w:instrText xml:space="preserve"> PAGEREF _Toc447029783 \h </w:instrText>
        </w:r>
        <w:r w:rsidR="00291E3E">
          <w:rPr>
            <w:noProof/>
            <w:webHidden/>
          </w:rPr>
        </w:r>
        <w:r w:rsidR="00291E3E">
          <w:rPr>
            <w:noProof/>
            <w:webHidden/>
          </w:rPr>
          <w:fldChar w:fldCharType="separate"/>
        </w:r>
        <w:r>
          <w:rPr>
            <w:noProof/>
            <w:webHidden/>
          </w:rPr>
          <w:t>12</w:t>
        </w:r>
        <w:r w:rsidR="00291E3E">
          <w:rPr>
            <w:noProof/>
            <w:webHidden/>
          </w:rPr>
          <w:fldChar w:fldCharType="end"/>
        </w:r>
      </w:hyperlink>
    </w:p>
    <w:p w14:paraId="509A64FE" w14:textId="77777777" w:rsidR="00291E3E" w:rsidRDefault="00602113">
      <w:pPr>
        <w:pStyle w:val="TOC2"/>
        <w:tabs>
          <w:tab w:val="left" w:pos="660"/>
          <w:tab w:val="right" w:leader="dot" w:pos="9737"/>
        </w:tabs>
        <w:rPr>
          <w:rFonts w:eastAsiaTheme="minorEastAsia"/>
          <w:noProof/>
        </w:rPr>
      </w:pPr>
      <w:hyperlink w:anchor="_Toc447029784" w:history="1">
        <w:r w:rsidR="00291E3E" w:rsidRPr="00EC10D1">
          <w:rPr>
            <w:rStyle w:val="Hyperlink"/>
            <w:rFonts w:cs="Times New Roman"/>
            <w:noProof/>
          </w:rPr>
          <w:t>7.</w:t>
        </w:r>
        <w:r w:rsidR="00291E3E">
          <w:rPr>
            <w:rFonts w:eastAsiaTheme="minorEastAsia"/>
            <w:noProof/>
          </w:rPr>
          <w:tab/>
        </w:r>
        <w:r w:rsidR="00291E3E" w:rsidRPr="00EC10D1">
          <w:rPr>
            <w:rStyle w:val="Hyperlink"/>
            <w:rFonts w:cs="Times New Roman"/>
            <w:noProof/>
          </w:rPr>
          <w:t>Conclusions and Way Forward</w:t>
        </w:r>
        <w:r w:rsidR="00291E3E">
          <w:rPr>
            <w:noProof/>
            <w:webHidden/>
          </w:rPr>
          <w:tab/>
        </w:r>
        <w:r w:rsidR="00291E3E">
          <w:rPr>
            <w:noProof/>
            <w:webHidden/>
          </w:rPr>
          <w:fldChar w:fldCharType="begin"/>
        </w:r>
        <w:r w:rsidR="00291E3E">
          <w:rPr>
            <w:noProof/>
            <w:webHidden/>
          </w:rPr>
          <w:instrText xml:space="preserve"> PAGEREF _Toc447029784 \h </w:instrText>
        </w:r>
        <w:r w:rsidR="00291E3E">
          <w:rPr>
            <w:noProof/>
            <w:webHidden/>
          </w:rPr>
        </w:r>
        <w:r w:rsidR="00291E3E">
          <w:rPr>
            <w:noProof/>
            <w:webHidden/>
          </w:rPr>
          <w:fldChar w:fldCharType="separate"/>
        </w:r>
        <w:r>
          <w:rPr>
            <w:noProof/>
            <w:webHidden/>
          </w:rPr>
          <w:t>13</w:t>
        </w:r>
        <w:r w:rsidR="00291E3E">
          <w:rPr>
            <w:noProof/>
            <w:webHidden/>
          </w:rPr>
          <w:fldChar w:fldCharType="end"/>
        </w:r>
      </w:hyperlink>
    </w:p>
    <w:p w14:paraId="4E213725" w14:textId="77777777" w:rsidR="00E711D6" w:rsidRPr="00846B0F" w:rsidRDefault="009505D8" w:rsidP="00363730">
      <w:pPr>
        <w:spacing w:after="0" w:line="276" w:lineRule="auto"/>
        <w:rPr>
          <w:rFonts w:cs="Times New Roman"/>
          <w:bCs/>
          <w:sz w:val="24"/>
          <w:szCs w:val="24"/>
        </w:rPr>
      </w:pPr>
      <w:r w:rsidRPr="00846B0F">
        <w:rPr>
          <w:rFonts w:cs="Times New Roman"/>
          <w:bCs/>
          <w:sz w:val="24"/>
          <w:szCs w:val="24"/>
        </w:rPr>
        <w:fldChar w:fldCharType="end"/>
      </w:r>
      <w:r w:rsidR="00E711D6" w:rsidRPr="00846B0F">
        <w:rPr>
          <w:rFonts w:cs="Times New Roman"/>
          <w:bCs/>
          <w:sz w:val="24"/>
          <w:szCs w:val="24"/>
        </w:rPr>
        <w:br w:type="page"/>
      </w:r>
    </w:p>
    <w:p w14:paraId="6B4D5C3B" w14:textId="77777777" w:rsidR="00E711D6" w:rsidRPr="00846B0F" w:rsidRDefault="00E711D6" w:rsidP="00363730">
      <w:pPr>
        <w:pStyle w:val="Norway1"/>
        <w:spacing w:line="276" w:lineRule="auto"/>
        <w:rPr>
          <w:rFonts w:cs="Times New Roman"/>
        </w:rPr>
      </w:pPr>
      <w:bookmarkStart w:id="1" w:name="_Toc414459837"/>
      <w:bookmarkStart w:id="2" w:name="_Toc447029776"/>
      <w:r w:rsidRPr="00846B0F">
        <w:rPr>
          <w:rFonts w:cs="Times New Roman"/>
        </w:rPr>
        <w:lastRenderedPageBreak/>
        <w:t>Acronyms</w:t>
      </w:r>
      <w:bookmarkEnd w:id="1"/>
      <w:bookmarkEnd w:id="2"/>
    </w:p>
    <w:p w14:paraId="11D842D1" w14:textId="77777777" w:rsidR="00D3268F" w:rsidRPr="00846B0F" w:rsidRDefault="00D3268F" w:rsidP="00363730">
      <w:pPr>
        <w:spacing w:after="0" w:line="276" w:lineRule="auto"/>
        <w:rPr>
          <w:rFonts w:cs="Times New Roman"/>
        </w:rPr>
      </w:pPr>
    </w:p>
    <w:p w14:paraId="3087F74F" w14:textId="77777777" w:rsidR="00CE104B" w:rsidRPr="00846B0F" w:rsidRDefault="00CE104B" w:rsidP="00363730">
      <w:pPr>
        <w:spacing w:after="0" w:line="276" w:lineRule="auto"/>
        <w:rPr>
          <w:rFonts w:cs="Times New Roman"/>
        </w:rPr>
      </w:pPr>
      <w:r w:rsidRPr="00846B0F">
        <w:rPr>
          <w:rFonts w:eastAsia="Batang" w:cs="Times New Roman"/>
        </w:rPr>
        <w:t>AWP</w:t>
      </w:r>
      <w:r w:rsidRPr="00846B0F">
        <w:rPr>
          <w:rFonts w:eastAsia="Batang" w:cs="Times New Roman"/>
        </w:rPr>
        <w:tab/>
      </w:r>
      <w:r w:rsidRPr="00846B0F">
        <w:rPr>
          <w:rFonts w:eastAsia="Batang" w:cs="Times New Roman"/>
        </w:rPr>
        <w:tab/>
        <w:t>Annual Work Plans</w:t>
      </w:r>
    </w:p>
    <w:p w14:paraId="6B27720E" w14:textId="77777777" w:rsidR="00CE104B" w:rsidRPr="00846B0F" w:rsidRDefault="00CE104B" w:rsidP="00363730">
      <w:pPr>
        <w:tabs>
          <w:tab w:val="left" w:pos="1458"/>
        </w:tabs>
        <w:spacing w:after="0" w:line="276" w:lineRule="auto"/>
        <w:rPr>
          <w:rFonts w:cs="Times New Roman"/>
        </w:rPr>
      </w:pPr>
      <w:r w:rsidRPr="00846B0F">
        <w:rPr>
          <w:rFonts w:cs="Times New Roman"/>
        </w:rPr>
        <w:t>CAF</w:t>
      </w:r>
      <w:r w:rsidRPr="00846B0F">
        <w:rPr>
          <w:rFonts w:cs="Times New Roman"/>
        </w:rPr>
        <w:tab/>
        <w:t>County Assemblies Forum</w:t>
      </w:r>
    </w:p>
    <w:p w14:paraId="634F738D" w14:textId="77777777" w:rsidR="00CE104B" w:rsidRPr="00846B0F" w:rsidRDefault="00CE104B" w:rsidP="00363730">
      <w:pPr>
        <w:tabs>
          <w:tab w:val="left" w:pos="1458"/>
        </w:tabs>
        <w:spacing w:after="0" w:line="276" w:lineRule="auto"/>
        <w:rPr>
          <w:rFonts w:cs="Times New Roman"/>
        </w:rPr>
      </w:pPr>
      <w:r w:rsidRPr="00846B0F">
        <w:rPr>
          <w:rFonts w:cs="Times New Roman"/>
        </w:rPr>
        <w:t>CARPS</w:t>
      </w:r>
      <w:r w:rsidRPr="00846B0F">
        <w:rPr>
          <w:rFonts w:cs="Times New Roman"/>
        </w:rPr>
        <w:tab/>
        <w:t xml:space="preserve">Capacity Assessment and Rationalization of the Public Service </w:t>
      </w:r>
    </w:p>
    <w:p w14:paraId="7A10DAC9" w14:textId="77777777" w:rsidR="00CE104B" w:rsidRPr="00846B0F" w:rsidRDefault="00CE104B" w:rsidP="00363730">
      <w:pPr>
        <w:tabs>
          <w:tab w:val="left" w:pos="1458"/>
        </w:tabs>
        <w:spacing w:after="0" w:line="276" w:lineRule="auto"/>
        <w:rPr>
          <w:rFonts w:cs="Times New Roman"/>
        </w:rPr>
      </w:pPr>
      <w:r w:rsidRPr="00846B0F">
        <w:rPr>
          <w:rFonts w:cs="Times New Roman"/>
        </w:rPr>
        <w:t>CECs</w:t>
      </w:r>
      <w:r w:rsidRPr="00846B0F">
        <w:rPr>
          <w:rFonts w:cs="Times New Roman"/>
        </w:rPr>
        <w:tab/>
        <w:t>County Executive Committees</w:t>
      </w:r>
    </w:p>
    <w:p w14:paraId="73A646CE" w14:textId="77777777" w:rsidR="00CE104B" w:rsidRPr="00846B0F" w:rsidRDefault="00CE104B" w:rsidP="00363730">
      <w:pPr>
        <w:tabs>
          <w:tab w:val="left" w:pos="1458"/>
        </w:tabs>
        <w:spacing w:after="0" w:line="276" w:lineRule="auto"/>
        <w:rPr>
          <w:rFonts w:cs="Times New Roman"/>
        </w:rPr>
      </w:pPr>
      <w:r w:rsidRPr="00846B0F">
        <w:rPr>
          <w:rFonts w:cs="Times New Roman"/>
        </w:rPr>
        <w:t>CIC</w:t>
      </w:r>
      <w:r w:rsidRPr="00846B0F">
        <w:rPr>
          <w:rFonts w:cs="Times New Roman"/>
        </w:rPr>
        <w:tab/>
        <w:t>Commission on Implementation of the Constitution</w:t>
      </w:r>
    </w:p>
    <w:p w14:paraId="4CF73B5B" w14:textId="77777777" w:rsidR="00CE104B" w:rsidRPr="00846B0F" w:rsidRDefault="00CE104B" w:rsidP="00363730">
      <w:pPr>
        <w:tabs>
          <w:tab w:val="left" w:pos="1458"/>
        </w:tabs>
        <w:spacing w:after="0" w:line="276" w:lineRule="auto"/>
        <w:rPr>
          <w:rFonts w:cs="Times New Roman"/>
        </w:rPr>
      </w:pPr>
      <w:r w:rsidRPr="00846B0F">
        <w:rPr>
          <w:rFonts w:cs="Times New Roman"/>
        </w:rPr>
        <w:t>CIDP</w:t>
      </w:r>
      <w:r w:rsidRPr="00846B0F">
        <w:rPr>
          <w:rFonts w:cs="Times New Roman"/>
        </w:rPr>
        <w:tab/>
        <w:t>County Integrated Development Plan</w:t>
      </w:r>
    </w:p>
    <w:p w14:paraId="43ACE8E7" w14:textId="77777777" w:rsidR="00CE104B" w:rsidRPr="00846B0F" w:rsidRDefault="00CE104B" w:rsidP="00363730">
      <w:pPr>
        <w:tabs>
          <w:tab w:val="left" w:pos="1458"/>
        </w:tabs>
        <w:spacing w:after="0" w:line="276" w:lineRule="auto"/>
        <w:rPr>
          <w:rFonts w:cs="Times New Roman"/>
        </w:rPr>
      </w:pPr>
      <w:r w:rsidRPr="00846B0F">
        <w:rPr>
          <w:rFonts w:cs="Times New Roman"/>
        </w:rPr>
        <w:t>CLDT</w:t>
      </w:r>
      <w:r w:rsidRPr="00846B0F">
        <w:rPr>
          <w:rFonts w:cs="Times New Roman"/>
        </w:rPr>
        <w:tab/>
        <w:t>Collaborative Leadership and Dialogue Training</w:t>
      </w:r>
    </w:p>
    <w:p w14:paraId="5B6FAD66" w14:textId="77777777" w:rsidR="00CE104B" w:rsidRPr="00846B0F" w:rsidRDefault="00CE104B" w:rsidP="00363730">
      <w:pPr>
        <w:spacing w:after="0" w:line="276" w:lineRule="auto"/>
        <w:rPr>
          <w:rFonts w:cs="Times New Roman"/>
        </w:rPr>
      </w:pPr>
      <w:proofErr w:type="spellStart"/>
      <w:r w:rsidRPr="00846B0F">
        <w:rPr>
          <w:rFonts w:cs="Times New Roman"/>
        </w:rPr>
        <w:t>CoG</w:t>
      </w:r>
      <w:proofErr w:type="spellEnd"/>
      <w:r w:rsidRPr="00846B0F">
        <w:rPr>
          <w:rFonts w:cs="Times New Roman"/>
        </w:rPr>
        <w:tab/>
      </w:r>
      <w:r w:rsidRPr="00846B0F">
        <w:rPr>
          <w:rFonts w:cs="Times New Roman"/>
        </w:rPr>
        <w:tab/>
        <w:t xml:space="preserve">Council of Governors </w:t>
      </w:r>
    </w:p>
    <w:p w14:paraId="665C06D5" w14:textId="77777777" w:rsidR="00CE104B" w:rsidRPr="00846B0F" w:rsidRDefault="00CE104B" w:rsidP="00363730">
      <w:pPr>
        <w:tabs>
          <w:tab w:val="left" w:pos="1458"/>
        </w:tabs>
        <w:spacing w:after="0" w:line="276" w:lineRule="auto"/>
        <w:rPr>
          <w:rFonts w:cs="Times New Roman"/>
        </w:rPr>
      </w:pPr>
      <w:r w:rsidRPr="00846B0F">
        <w:rPr>
          <w:rFonts w:cs="Times New Roman"/>
        </w:rPr>
        <w:t>CPD</w:t>
      </w:r>
      <w:r w:rsidRPr="00846B0F">
        <w:rPr>
          <w:rFonts w:cs="Times New Roman"/>
        </w:rPr>
        <w:tab/>
        <w:t>Country Programme Document</w:t>
      </w:r>
    </w:p>
    <w:p w14:paraId="737EFEFB" w14:textId="77777777" w:rsidR="00CE104B" w:rsidRPr="00846B0F" w:rsidRDefault="00CE104B" w:rsidP="00363730">
      <w:pPr>
        <w:tabs>
          <w:tab w:val="left" w:pos="1458"/>
        </w:tabs>
        <w:spacing w:after="0" w:line="276" w:lineRule="auto"/>
        <w:rPr>
          <w:rFonts w:cs="Times New Roman"/>
        </w:rPr>
      </w:pPr>
      <w:r w:rsidRPr="00846B0F">
        <w:rPr>
          <w:rFonts w:cs="Times New Roman"/>
        </w:rPr>
        <w:t>CRA</w:t>
      </w:r>
      <w:r w:rsidRPr="00846B0F">
        <w:rPr>
          <w:rFonts w:cs="Times New Roman"/>
        </w:rPr>
        <w:tab/>
        <w:t>Commission on Revenue Allocation</w:t>
      </w:r>
    </w:p>
    <w:p w14:paraId="6A08C8B6" w14:textId="77777777" w:rsidR="00CE104B" w:rsidRPr="00846B0F" w:rsidRDefault="00CE104B" w:rsidP="00363730">
      <w:pPr>
        <w:tabs>
          <w:tab w:val="left" w:pos="1458"/>
        </w:tabs>
        <w:spacing w:after="0" w:line="276" w:lineRule="auto"/>
        <w:rPr>
          <w:rFonts w:cs="Times New Roman"/>
        </w:rPr>
      </w:pPr>
      <w:r w:rsidRPr="00846B0F">
        <w:rPr>
          <w:rFonts w:cs="Times New Roman"/>
        </w:rPr>
        <w:t>CS</w:t>
      </w:r>
      <w:r w:rsidRPr="00846B0F">
        <w:rPr>
          <w:rFonts w:cs="Times New Roman"/>
        </w:rPr>
        <w:tab/>
        <w:t>Cabinet Secretary</w:t>
      </w:r>
    </w:p>
    <w:p w14:paraId="6E08CCC0" w14:textId="77777777" w:rsidR="00CE104B" w:rsidRPr="00846B0F" w:rsidRDefault="00CE104B" w:rsidP="00363730">
      <w:pPr>
        <w:tabs>
          <w:tab w:val="left" w:pos="1458"/>
        </w:tabs>
        <w:spacing w:after="0" w:line="276" w:lineRule="auto"/>
        <w:rPr>
          <w:rFonts w:cs="Times New Roman"/>
        </w:rPr>
      </w:pPr>
      <w:r w:rsidRPr="00846B0F">
        <w:rPr>
          <w:rFonts w:cs="Times New Roman"/>
        </w:rPr>
        <w:t>DDWG</w:t>
      </w:r>
      <w:r w:rsidRPr="00846B0F">
        <w:rPr>
          <w:rFonts w:cs="Times New Roman"/>
        </w:rPr>
        <w:tab/>
        <w:t>Devolution Donor Working Group</w:t>
      </w:r>
    </w:p>
    <w:p w14:paraId="62A3CB66" w14:textId="77777777" w:rsidR="00CE104B" w:rsidRPr="00846B0F" w:rsidRDefault="00CE104B" w:rsidP="00D676AA">
      <w:pPr>
        <w:spacing w:after="0" w:line="276" w:lineRule="auto"/>
        <w:rPr>
          <w:rFonts w:cs="Times New Roman"/>
        </w:rPr>
      </w:pPr>
      <w:r w:rsidRPr="00846B0F">
        <w:rPr>
          <w:rFonts w:cs="Times New Roman"/>
        </w:rPr>
        <w:t>DFID</w:t>
      </w:r>
      <w:r w:rsidRPr="00846B0F">
        <w:rPr>
          <w:rFonts w:cs="Times New Roman"/>
        </w:rPr>
        <w:tab/>
      </w:r>
      <w:r w:rsidRPr="00846B0F">
        <w:rPr>
          <w:rFonts w:cs="Times New Roman"/>
        </w:rPr>
        <w:tab/>
        <w:t>Department for International Development</w:t>
      </w:r>
    </w:p>
    <w:p w14:paraId="40BEE664" w14:textId="77777777" w:rsidR="00CE104B" w:rsidRPr="00846B0F" w:rsidRDefault="00CE104B" w:rsidP="00363730">
      <w:pPr>
        <w:tabs>
          <w:tab w:val="left" w:pos="1458"/>
        </w:tabs>
        <w:spacing w:after="0" w:line="276" w:lineRule="auto"/>
        <w:rPr>
          <w:rFonts w:cs="Times New Roman"/>
        </w:rPr>
      </w:pPr>
      <w:r w:rsidRPr="00846B0F">
        <w:rPr>
          <w:rFonts w:cs="Times New Roman"/>
        </w:rPr>
        <w:t>DPG</w:t>
      </w:r>
      <w:r w:rsidRPr="00846B0F">
        <w:rPr>
          <w:rFonts w:cs="Times New Roman"/>
        </w:rPr>
        <w:tab/>
        <w:t>Development Partners Group</w:t>
      </w:r>
    </w:p>
    <w:p w14:paraId="7699581A" w14:textId="77777777" w:rsidR="00CE104B" w:rsidRPr="00846B0F" w:rsidRDefault="00CE104B" w:rsidP="00363730">
      <w:pPr>
        <w:tabs>
          <w:tab w:val="left" w:pos="1458"/>
        </w:tabs>
        <w:spacing w:after="0" w:line="276" w:lineRule="auto"/>
        <w:rPr>
          <w:rFonts w:cs="Times New Roman"/>
        </w:rPr>
      </w:pPr>
      <w:r w:rsidRPr="00846B0F">
        <w:rPr>
          <w:rFonts w:cs="Times New Roman"/>
        </w:rPr>
        <w:t>DSWG</w:t>
      </w:r>
      <w:r w:rsidRPr="00846B0F">
        <w:rPr>
          <w:rFonts w:cs="Times New Roman"/>
        </w:rPr>
        <w:tab/>
        <w:t>Devolution Sector Working Group</w:t>
      </w:r>
    </w:p>
    <w:p w14:paraId="73D5CC1D" w14:textId="77777777" w:rsidR="00CE104B" w:rsidRPr="00846B0F" w:rsidRDefault="00CE104B" w:rsidP="00363730">
      <w:pPr>
        <w:spacing w:after="0" w:line="276" w:lineRule="auto"/>
        <w:rPr>
          <w:rFonts w:cs="Times New Roman"/>
        </w:rPr>
      </w:pPr>
      <w:r w:rsidRPr="00846B0F">
        <w:rPr>
          <w:rFonts w:cs="Times New Roman"/>
        </w:rPr>
        <w:t xml:space="preserve">GDP </w:t>
      </w:r>
      <w:r w:rsidRPr="00846B0F">
        <w:rPr>
          <w:rFonts w:cs="Times New Roman"/>
        </w:rPr>
        <w:tab/>
      </w:r>
      <w:r w:rsidRPr="00846B0F">
        <w:rPr>
          <w:rFonts w:cs="Times New Roman"/>
        </w:rPr>
        <w:tab/>
        <w:t>Gross Domestic Product</w:t>
      </w:r>
    </w:p>
    <w:p w14:paraId="6C045950" w14:textId="77777777" w:rsidR="00CE104B" w:rsidRPr="00846B0F" w:rsidRDefault="00CE104B" w:rsidP="00D676AA">
      <w:pPr>
        <w:spacing w:after="0" w:line="276" w:lineRule="auto"/>
        <w:rPr>
          <w:rFonts w:cs="Times New Roman"/>
        </w:rPr>
      </w:pPr>
      <w:proofErr w:type="spellStart"/>
      <w:r w:rsidRPr="00846B0F">
        <w:rPr>
          <w:rFonts w:cs="Times New Roman"/>
        </w:rPr>
        <w:t>GoK</w:t>
      </w:r>
      <w:proofErr w:type="spellEnd"/>
      <w:r w:rsidRPr="00846B0F">
        <w:rPr>
          <w:rFonts w:cs="Times New Roman"/>
        </w:rPr>
        <w:tab/>
      </w:r>
      <w:r w:rsidRPr="00846B0F">
        <w:rPr>
          <w:rFonts w:cs="Times New Roman"/>
        </w:rPr>
        <w:tab/>
        <w:t>Government of Kenya</w:t>
      </w:r>
    </w:p>
    <w:p w14:paraId="7DE337BD" w14:textId="77777777" w:rsidR="00CE104B" w:rsidRPr="00846B0F" w:rsidRDefault="00CE104B" w:rsidP="00363730">
      <w:pPr>
        <w:tabs>
          <w:tab w:val="left" w:pos="1458"/>
        </w:tabs>
        <w:spacing w:after="0" w:line="276" w:lineRule="auto"/>
        <w:rPr>
          <w:rFonts w:cs="Times New Roman"/>
        </w:rPr>
      </w:pPr>
      <w:r w:rsidRPr="00846B0F">
        <w:rPr>
          <w:rFonts w:cs="Times New Roman"/>
        </w:rPr>
        <w:t xml:space="preserve">IBEC </w:t>
      </w:r>
      <w:r w:rsidRPr="00846B0F">
        <w:rPr>
          <w:rFonts w:cs="Times New Roman"/>
        </w:rPr>
        <w:tab/>
        <w:t xml:space="preserve">Intergovernmental Budget and Economic Council </w:t>
      </w:r>
    </w:p>
    <w:p w14:paraId="10DE3A3C" w14:textId="77777777" w:rsidR="00CE104B" w:rsidRPr="00846B0F" w:rsidRDefault="00CE104B" w:rsidP="00D676AA">
      <w:pPr>
        <w:spacing w:after="0" w:line="276" w:lineRule="auto"/>
        <w:rPr>
          <w:rFonts w:cs="Times New Roman"/>
        </w:rPr>
      </w:pPr>
      <w:r w:rsidRPr="00846B0F">
        <w:rPr>
          <w:rFonts w:cs="Times New Roman"/>
        </w:rPr>
        <w:t>IFMIS</w:t>
      </w:r>
      <w:r w:rsidRPr="00846B0F">
        <w:rPr>
          <w:rFonts w:cs="Times New Roman"/>
        </w:rPr>
        <w:tab/>
      </w:r>
      <w:r w:rsidRPr="00846B0F">
        <w:rPr>
          <w:rFonts w:cs="Times New Roman"/>
        </w:rPr>
        <w:tab/>
        <w:t xml:space="preserve">Integrated Financial Management Information System </w:t>
      </w:r>
    </w:p>
    <w:p w14:paraId="386CCAEB" w14:textId="77777777" w:rsidR="00CE104B" w:rsidRPr="00846B0F" w:rsidRDefault="00CE104B" w:rsidP="00D676AA">
      <w:pPr>
        <w:spacing w:after="0" w:line="276" w:lineRule="auto"/>
        <w:rPr>
          <w:rFonts w:cs="Times New Roman"/>
        </w:rPr>
      </w:pPr>
      <w:r>
        <w:rPr>
          <w:rFonts w:cs="Times New Roman"/>
        </w:rPr>
        <w:t xml:space="preserve">IGRTC </w:t>
      </w:r>
      <w:r>
        <w:rPr>
          <w:rFonts w:cs="Times New Roman"/>
        </w:rPr>
        <w:tab/>
      </w:r>
      <w:r>
        <w:rPr>
          <w:rFonts w:cs="Times New Roman"/>
        </w:rPr>
        <w:tab/>
      </w:r>
      <w:r w:rsidRPr="00846B0F">
        <w:rPr>
          <w:rFonts w:eastAsia="Batang" w:cs="Times New Roman"/>
          <w:sz w:val="24"/>
          <w:szCs w:val="24"/>
        </w:rPr>
        <w:t>Inter</w:t>
      </w:r>
      <w:r>
        <w:rPr>
          <w:rFonts w:eastAsia="Batang" w:cs="Times New Roman"/>
          <w:sz w:val="24"/>
          <w:szCs w:val="24"/>
        </w:rPr>
        <w:t>-G</w:t>
      </w:r>
      <w:r w:rsidRPr="00846B0F">
        <w:rPr>
          <w:rFonts w:eastAsia="Batang" w:cs="Times New Roman"/>
          <w:sz w:val="24"/>
          <w:szCs w:val="24"/>
        </w:rPr>
        <w:t>overnmental Relations Technical Committee</w:t>
      </w:r>
    </w:p>
    <w:p w14:paraId="40B158E9" w14:textId="77777777" w:rsidR="00CE104B" w:rsidRPr="00846B0F" w:rsidRDefault="00CE104B" w:rsidP="00363730">
      <w:pPr>
        <w:spacing w:after="0" w:line="276" w:lineRule="auto"/>
        <w:rPr>
          <w:rFonts w:eastAsia="Batang" w:cs="Times New Roman"/>
        </w:rPr>
      </w:pPr>
      <w:r w:rsidRPr="00846B0F">
        <w:rPr>
          <w:rFonts w:eastAsia="Batang" w:cs="Times New Roman"/>
        </w:rPr>
        <w:t>IPs</w:t>
      </w:r>
      <w:r w:rsidRPr="00846B0F">
        <w:rPr>
          <w:rFonts w:eastAsia="Batang" w:cs="Times New Roman"/>
        </w:rPr>
        <w:tab/>
      </w:r>
      <w:r w:rsidRPr="00846B0F">
        <w:rPr>
          <w:rFonts w:eastAsia="Batang" w:cs="Times New Roman"/>
        </w:rPr>
        <w:tab/>
        <w:t>Implementing Partners</w:t>
      </w:r>
    </w:p>
    <w:p w14:paraId="6EACBDAE" w14:textId="77777777" w:rsidR="00CE104B" w:rsidRPr="00846B0F" w:rsidRDefault="00CE104B" w:rsidP="00363730">
      <w:pPr>
        <w:spacing w:after="0" w:line="276" w:lineRule="auto"/>
        <w:rPr>
          <w:rFonts w:cs="Times New Roman"/>
        </w:rPr>
      </w:pPr>
      <w:r w:rsidRPr="00846B0F">
        <w:rPr>
          <w:rFonts w:cs="Times New Roman"/>
        </w:rPr>
        <w:t>KRAs</w:t>
      </w:r>
      <w:r w:rsidRPr="00846B0F">
        <w:rPr>
          <w:rFonts w:cs="Times New Roman"/>
        </w:rPr>
        <w:tab/>
      </w:r>
      <w:r w:rsidRPr="00846B0F">
        <w:rPr>
          <w:rFonts w:cs="Times New Roman"/>
        </w:rPr>
        <w:tab/>
        <w:t>Key Result Areas</w:t>
      </w:r>
    </w:p>
    <w:p w14:paraId="73F5B0A6" w14:textId="77777777" w:rsidR="00CE104B" w:rsidRPr="00846B0F" w:rsidRDefault="00CE104B" w:rsidP="00363730">
      <w:pPr>
        <w:spacing w:after="0" w:line="276" w:lineRule="auto"/>
        <w:rPr>
          <w:rFonts w:cs="Times New Roman"/>
        </w:rPr>
      </w:pPr>
      <w:r w:rsidRPr="00846B0F">
        <w:rPr>
          <w:rFonts w:cs="Times New Roman"/>
        </w:rPr>
        <w:t>KSG</w:t>
      </w:r>
      <w:r w:rsidRPr="00846B0F">
        <w:rPr>
          <w:rFonts w:cs="Times New Roman"/>
        </w:rPr>
        <w:tab/>
      </w:r>
      <w:r w:rsidRPr="00846B0F">
        <w:rPr>
          <w:rFonts w:cs="Times New Roman"/>
        </w:rPr>
        <w:tab/>
        <w:t>Kenya School of Government</w:t>
      </w:r>
    </w:p>
    <w:p w14:paraId="3386B4A2" w14:textId="77777777" w:rsidR="00CE104B" w:rsidRPr="00846B0F" w:rsidRDefault="00CE104B" w:rsidP="00363730">
      <w:pPr>
        <w:spacing w:after="0" w:line="276" w:lineRule="auto"/>
        <w:rPr>
          <w:rFonts w:cs="Times New Roman"/>
        </w:rPr>
      </w:pPr>
      <w:r w:rsidRPr="00846B0F">
        <w:rPr>
          <w:rFonts w:cs="Times New Roman"/>
        </w:rPr>
        <w:t>M&amp;E</w:t>
      </w:r>
      <w:r w:rsidRPr="00846B0F">
        <w:rPr>
          <w:rFonts w:cs="Times New Roman"/>
        </w:rPr>
        <w:tab/>
      </w:r>
      <w:r w:rsidRPr="00846B0F">
        <w:rPr>
          <w:rFonts w:cs="Times New Roman"/>
        </w:rPr>
        <w:tab/>
        <w:t>Monitoring and Evaluation</w:t>
      </w:r>
    </w:p>
    <w:p w14:paraId="51CC8D15" w14:textId="77777777" w:rsidR="00CE104B" w:rsidRPr="00846B0F" w:rsidRDefault="00CE104B" w:rsidP="00363730">
      <w:pPr>
        <w:spacing w:after="0" w:line="276" w:lineRule="auto"/>
        <w:rPr>
          <w:rFonts w:cs="Times New Roman"/>
          <w:bCs/>
        </w:rPr>
      </w:pPr>
      <w:r w:rsidRPr="00846B0F">
        <w:rPr>
          <w:rFonts w:cs="Times New Roman"/>
          <w:bCs/>
        </w:rPr>
        <w:t>MCAs</w:t>
      </w:r>
      <w:r w:rsidRPr="00846B0F">
        <w:rPr>
          <w:rFonts w:cs="Times New Roman"/>
          <w:bCs/>
        </w:rPr>
        <w:tab/>
      </w:r>
      <w:r w:rsidRPr="00846B0F">
        <w:rPr>
          <w:rFonts w:cs="Times New Roman"/>
          <w:bCs/>
        </w:rPr>
        <w:tab/>
        <w:t>Members of County Assemblies</w:t>
      </w:r>
    </w:p>
    <w:p w14:paraId="2F4D3D7D" w14:textId="77777777" w:rsidR="00CE104B" w:rsidRPr="00846B0F" w:rsidRDefault="00CE104B" w:rsidP="00363730">
      <w:pPr>
        <w:spacing w:after="0" w:line="276" w:lineRule="auto"/>
        <w:rPr>
          <w:rFonts w:cs="Times New Roman"/>
        </w:rPr>
      </w:pPr>
      <w:r w:rsidRPr="00846B0F">
        <w:rPr>
          <w:rFonts w:cs="Times New Roman"/>
        </w:rPr>
        <w:t>MFA</w:t>
      </w:r>
      <w:r w:rsidRPr="00846B0F">
        <w:rPr>
          <w:rFonts w:cs="Times New Roman"/>
        </w:rPr>
        <w:tab/>
      </w:r>
      <w:r w:rsidRPr="00846B0F">
        <w:rPr>
          <w:rFonts w:cs="Times New Roman"/>
        </w:rPr>
        <w:tab/>
        <w:t xml:space="preserve">Norwegian Ministry of Foreign Affairs </w:t>
      </w:r>
    </w:p>
    <w:p w14:paraId="413CBC9A" w14:textId="77777777" w:rsidR="00CE104B" w:rsidRPr="00846B0F" w:rsidRDefault="00CE104B" w:rsidP="00D676AA">
      <w:pPr>
        <w:spacing w:after="0" w:line="276" w:lineRule="auto"/>
        <w:rPr>
          <w:rFonts w:cs="Times New Roman"/>
        </w:rPr>
      </w:pPr>
      <w:proofErr w:type="spellStart"/>
      <w:r w:rsidRPr="00846B0F">
        <w:rPr>
          <w:rFonts w:cs="Times New Roman"/>
        </w:rPr>
        <w:t>MoDP</w:t>
      </w:r>
      <w:proofErr w:type="spellEnd"/>
      <w:r w:rsidRPr="00846B0F">
        <w:rPr>
          <w:rFonts w:cs="Times New Roman"/>
        </w:rPr>
        <w:tab/>
      </w:r>
      <w:r w:rsidRPr="00846B0F">
        <w:rPr>
          <w:rFonts w:cs="Times New Roman"/>
        </w:rPr>
        <w:tab/>
        <w:t>Ministry of Devolution and Planning</w:t>
      </w:r>
    </w:p>
    <w:p w14:paraId="521C31C4" w14:textId="77777777" w:rsidR="00CE104B" w:rsidRPr="00846B0F" w:rsidRDefault="00CE104B" w:rsidP="00363730">
      <w:pPr>
        <w:tabs>
          <w:tab w:val="left" w:pos="1458"/>
        </w:tabs>
        <w:spacing w:after="0" w:line="276" w:lineRule="auto"/>
        <w:rPr>
          <w:rFonts w:cs="Times New Roman"/>
        </w:rPr>
      </w:pPr>
      <w:r w:rsidRPr="00846B0F">
        <w:rPr>
          <w:rFonts w:cs="Times New Roman"/>
        </w:rPr>
        <w:lastRenderedPageBreak/>
        <w:t>NCBF</w:t>
      </w:r>
      <w:r w:rsidRPr="00846B0F">
        <w:rPr>
          <w:rFonts w:cs="Times New Roman"/>
        </w:rPr>
        <w:tab/>
        <w:t>National Capacity Building Framework</w:t>
      </w:r>
    </w:p>
    <w:p w14:paraId="1EAE1388" w14:textId="77777777" w:rsidR="00CE104B" w:rsidRPr="00846B0F" w:rsidRDefault="00CE104B" w:rsidP="00363730">
      <w:pPr>
        <w:spacing w:after="0" w:line="276" w:lineRule="auto"/>
        <w:rPr>
          <w:rFonts w:cs="Times New Roman"/>
        </w:rPr>
      </w:pPr>
      <w:r w:rsidRPr="00846B0F">
        <w:rPr>
          <w:rFonts w:cs="Times New Roman"/>
        </w:rPr>
        <w:t>NOK</w:t>
      </w:r>
      <w:r w:rsidRPr="00846B0F">
        <w:rPr>
          <w:rFonts w:cs="Times New Roman"/>
        </w:rPr>
        <w:tab/>
      </w:r>
      <w:r w:rsidRPr="00846B0F">
        <w:rPr>
          <w:rFonts w:cs="Times New Roman"/>
        </w:rPr>
        <w:tab/>
        <w:t>Norwegian Kroner</w:t>
      </w:r>
    </w:p>
    <w:p w14:paraId="17300E64" w14:textId="77777777" w:rsidR="00CE104B" w:rsidRPr="00846B0F" w:rsidRDefault="00CE104B" w:rsidP="00363730">
      <w:pPr>
        <w:spacing w:after="0" w:line="276" w:lineRule="auto"/>
        <w:rPr>
          <w:rFonts w:cs="Times New Roman"/>
        </w:rPr>
      </w:pPr>
      <w:r w:rsidRPr="00846B0F">
        <w:rPr>
          <w:rFonts w:cs="Times New Roman"/>
          <w:bCs/>
        </w:rPr>
        <w:t>PAS</w:t>
      </w:r>
      <w:r w:rsidRPr="00846B0F">
        <w:rPr>
          <w:rFonts w:cs="Times New Roman"/>
          <w:bCs/>
        </w:rPr>
        <w:tab/>
      </w:r>
      <w:r w:rsidRPr="00846B0F">
        <w:rPr>
          <w:rFonts w:cs="Times New Roman"/>
          <w:bCs/>
        </w:rPr>
        <w:tab/>
        <w:t>Performance Appraisal System`</w:t>
      </w:r>
    </w:p>
    <w:p w14:paraId="29A4DED5" w14:textId="77777777" w:rsidR="00CE104B" w:rsidRPr="00846B0F" w:rsidRDefault="00CE104B" w:rsidP="00CE104B">
      <w:pPr>
        <w:tabs>
          <w:tab w:val="left" w:pos="720"/>
          <w:tab w:val="left" w:pos="1440"/>
          <w:tab w:val="left" w:pos="2160"/>
          <w:tab w:val="left" w:pos="2880"/>
          <w:tab w:val="left" w:pos="3600"/>
          <w:tab w:val="left" w:pos="6165"/>
        </w:tabs>
        <w:spacing w:after="0" w:line="276" w:lineRule="auto"/>
        <w:rPr>
          <w:rFonts w:cs="Times New Roman"/>
        </w:rPr>
      </w:pPr>
      <w:r w:rsidRPr="00846B0F">
        <w:rPr>
          <w:rFonts w:cs="Times New Roman"/>
        </w:rPr>
        <w:t xml:space="preserve">PFM </w:t>
      </w:r>
      <w:r w:rsidRPr="00846B0F">
        <w:rPr>
          <w:rFonts w:cs="Times New Roman"/>
        </w:rPr>
        <w:tab/>
      </w:r>
      <w:r w:rsidRPr="00846B0F">
        <w:rPr>
          <w:rFonts w:cs="Times New Roman"/>
        </w:rPr>
        <w:tab/>
        <w:t>Public Finance Management</w:t>
      </w:r>
      <w:r>
        <w:rPr>
          <w:rFonts w:cs="Times New Roman"/>
        </w:rPr>
        <w:tab/>
      </w:r>
    </w:p>
    <w:p w14:paraId="35055650" w14:textId="77777777" w:rsidR="00CE104B" w:rsidRPr="00846B0F" w:rsidRDefault="00CE104B" w:rsidP="00363730">
      <w:pPr>
        <w:spacing w:after="0" w:line="276" w:lineRule="auto"/>
        <w:rPr>
          <w:rFonts w:cs="Times New Roman"/>
          <w:bCs/>
        </w:rPr>
      </w:pPr>
      <w:r w:rsidRPr="00846B0F">
        <w:rPr>
          <w:rFonts w:cs="Times New Roman"/>
        </w:rPr>
        <w:t>PMS</w:t>
      </w:r>
      <w:r w:rsidRPr="00846B0F">
        <w:rPr>
          <w:rFonts w:cs="Times New Roman"/>
        </w:rPr>
        <w:tab/>
      </w:r>
      <w:r w:rsidRPr="00846B0F">
        <w:rPr>
          <w:rFonts w:cs="Times New Roman"/>
        </w:rPr>
        <w:tab/>
      </w:r>
      <w:r w:rsidRPr="00846B0F">
        <w:rPr>
          <w:rFonts w:cs="Times New Roman"/>
          <w:bCs/>
        </w:rPr>
        <w:t xml:space="preserve">Performance Management System </w:t>
      </w:r>
    </w:p>
    <w:p w14:paraId="28CD1919" w14:textId="77777777" w:rsidR="00CE104B" w:rsidRPr="00846B0F" w:rsidRDefault="00CE104B" w:rsidP="00363730">
      <w:pPr>
        <w:spacing w:after="0" w:line="276" w:lineRule="auto"/>
        <w:rPr>
          <w:rFonts w:cs="Times New Roman"/>
        </w:rPr>
      </w:pPr>
      <w:r w:rsidRPr="00846B0F">
        <w:rPr>
          <w:rFonts w:cs="Times New Roman"/>
        </w:rPr>
        <w:t>PST</w:t>
      </w:r>
      <w:r w:rsidRPr="00846B0F">
        <w:rPr>
          <w:rFonts w:cs="Times New Roman"/>
        </w:rPr>
        <w:tab/>
      </w:r>
      <w:r w:rsidRPr="00846B0F">
        <w:rPr>
          <w:rFonts w:cs="Times New Roman"/>
        </w:rPr>
        <w:tab/>
      </w:r>
      <w:r w:rsidRPr="00846B0F">
        <w:rPr>
          <w:rFonts w:cs="Times New Roman"/>
          <w:color w:val="000000" w:themeColor="text1"/>
        </w:rPr>
        <w:t>Project Support Team</w:t>
      </w:r>
    </w:p>
    <w:p w14:paraId="5F48AC59" w14:textId="77777777" w:rsidR="00CE104B" w:rsidRPr="00846B0F" w:rsidRDefault="00CE104B" w:rsidP="00363730">
      <w:pPr>
        <w:spacing w:after="0" w:line="276" w:lineRule="auto"/>
        <w:rPr>
          <w:rFonts w:cs="Times New Roman"/>
          <w:bCs/>
        </w:rPr>
      </w:pPr>
      <w:r w:rsidRPr="00846B0F">
        <w:rPr>
          <w:rFonts w:cs="Times New Roman"/>
          <w:bCs/>
        </w:rPr>
        <w:t>PwC</w:t>
      </w:r>
      <w:r w:rsidRPr="00846B0F">
        <w:rPr>
          <w:rFonts w:cs="Times New Roman"/>
          <w:bCs/>
        </w:rPr>
        <w:tab/>
      </w:r>
      <w:r w:rsidRPr="00846B0F">
        <w:rPr>
          <w:rFonts w:cs="Times New Roman"/>
          <w:bCs/>
        </w:rPr>
        <w:tab/>
        <w:t xml:space="preserve">PricewaterhouseCoopers </w:t>
      </w:r>
    </w:p>
    <w:p w14:paraId="0208AB20" w14:textId="77777777" w:rsidR="00CE104B" w:rsidRPr="00846B0F" w:rsidRDefault="00CE104B" w:rsidP="00D676AA">
      <w:pPr>
        <w:spacing w:after="0" w:line="276" w:lineRule="auto"/>
        <w:rPr>
          <w:rFonts w:cs="Times New Roman"/>
        </w:rPr>
      </w:pPr>
      <w:r w:rsidRPr="00846B0F">
        <w:rPr>
          <w:rFonts w:cs="Times New Roman"/>
        </w:rPr>
        <w:t>SIDA</w:t>
      </w:r>
      <w:r w:rsidRPr="00846B0F">
        <w:rPr>
          <w:rFonts w:cs="Times New Roman"/>
        </w:rPr>
        <w:tab/>
      </w:r>
      <w:r w:rsidRPr="00846B0F">
        <w:rPr>
          <w:rFonts w:cs="Times New Roman"/>
        </w:rPr>
        <w:tab/>
        <w:t>Swedish International Development Agency</w:t>
      </w:r>
    </w:p>
    <w:p w14:paraId="2199A778" w14:textId="77777777" w:rsidR="00CE104B" w:rsidRPr="00846B0F" w:rsidRDefault="00CE104B" w:rsidP="00363730">
      <w:pPr>
        <w:tabs>
          <w:tab w:val="left" w:pos="1458"/>
        </w:tabs>
        <w:spacing w:after="0" w:line="276" w:lineRule="auto"/>
        <w:rPr>
          <w:rFonts w:cs="Times New Roman"/>
        </w:rPr>
      </w:pPr>
      <w:r w:rsidRPr="00846B0F">
        <w:rPr>
          <w:rFonts w:cs="Times New Roman"/>
        </w:rPr>
        <w:t>TA</w:t>
      </w:r>
      <w:r w:rsidRPr="00846B0F">
        <w:rPr>
          <w:rFonts w:cs="Times New Roman"/>
        </w:rPr>
        <w:tab/>
        <w:t>Transition Authority</w:t>
      </w:r>
    </w:p>
    <w:p w14:paraId="1EBA6CF5" w14:textId="77777777" w:rsidR="00CE104B" w:rsidRPr="00846B0F" w:rsidRDefault="00CE104B" w:rsidP="00363730">
      <w:pPr>
        <w:spacing w:after="0" w:line="276" w:lineRule="auto"/>
        <w:rPr>
          <w:rFonts w:cs="Times New Roman"/>
        </w:rPr>
      </w:pPr>
      <w:proofErr w:type="spellStart"/>
      <w:r w:rsidRPr="00846B0F">
        <w:rPr>
          <w:rFonts w:eastAsia="Batang" w:cs="Times New Roman"/>
        </w:rPr>
        <w:t>ToRs</w:t>
      </w:r>
      <w:proofErr w:type="spellEnd"/>
      <w:r w:rsidRPr="00846B0F">
        <w:rPr>
          <w:rFonts w:eastAsia="Batang" w:cs="Times New Roman"/>
        </w:rPr>
        <w:tab/>
      </w:r>
      <w:r w:rsidRPr="00846B0F">
        <w:rPr>
          <w:rFonts w:eastAsia="Batang" w:cs="Times New Roman"/>
        </w:rPr>
        <w:tab/>
        <w:t>Terms of Reference</w:t>
      </w:r>
    </w:p>
    <w:p w14:paraId="70F2AC9F" w14:textId="77777777" w:rsidR="00CE104B" w:rsidRPr="00846B0F" w:rsidRDefault="00CE104B" w:rsidP="00363730">
      <w:pPr>
        <w:spacing w:after="0" w:line="276" w:lineRule="auto"/>
        <w:rPr>
          <w:rFonts w:cs="Times New Roman"/>
        </w:rPr>
      </w:pPr>
      <w:proofErr w:type="spellStart"/>
      <w:r w:rsidRPr="00846B0F">
        <w:rPr>
          <w:rFonts w:cs="Times New Roman"/>
        </w:rPr>
        <w:t>ToTs</w:t>
      </w:r>
      <w:proofErr w:type="spellEnd"/>
      <w:r w:rsidRPr="00846B0F">
        <w:rPr>
          <w:rFonts w:cs="Times New Roman"/>
        </w:rPr>
        <w:tab/>
      </w:r>
      <w:r w:rsidRPr="00846B0F">
        <w:rPr>
          <w:rFonts w:cs="Times New Roman"/>
        </w:rPr>
        <w:tab/>
        <w:t xml:space="preserve">Training of Trainers </w:t>
      </w:r>
    </w:p>
    <w:p w14:paraId="28D543C1" w14:textId="77777777" w:rsidR="00CE104B" w:rsidRPr="00846B0F" w:rsidRDefault="00CE104B" w:rsidP="00E07CAC">
      <w:pPr>
        <w:tabs>
          <w:tab w:val="left" w:pos="720"/>
          <w:tab w:val="left" w:pos="1440"/>
          <w:tab w:val="left" w:pos="2160"/>
          <w:tab w:val="left" w:pos="2880"/>
          <w:tab w:val="left" w:pos="3600"/>
          <w:tab w:val="left" w:pos="4320"/>
          <w:tab w:val="left" w:pos="5040"/>
          <w:tab w:val="left" w:pos="5760"/>
          <w:tab w:val="left" w:pos="6660"/>
        </w:tabs>
        <w:spacing w:after="0" w:line="276" w:lineRule="auto"/>
        <w:rPr>
          <w:rFonts w:cs="Times New Roman"/>
        </w:rPr>
      </w:pPr>
      <w:r w:rsidRPr="00846B0F">
        <w:rPr>
          <w:rFonts w:cs="Times New Roman"/>
        </w:rPr>
        <w:t>UNDAF</w:t>
      </w:r>
      <w:r w:rsidRPr="00846B0F">
        <w:rPr>
          <w:rFonts w:cs="Times New Roman"/>
        </w:rPr>
        <w:tab/>
        <w:t xml:space="preserve">              United Nations Development Assistance Framework</w:t>
      </w:r>
      <w:r>
        <w:rPr>
          <w:rFonts w:cs="Times New Roman"/>
        </w:rPr>
        <w:tab/>
      </w:r>
    </w:p>
    <w:p w14:paraId="1894FD7C" w14:textId="77777777" w:rsidR="00CE104B" w:rsidRPr="00846B0F" w:rsidRDefault="00CE104B" w:rsidP="00D676AA">
      <w:pPr>
        <w:spacing w:after="0" w:line="276" w:lineRule="auto"/>
        <w:rPr>
          <w:rFonts w:cs="Times New Roman"/>
        </w:rPr>
      </w:pPr>
      <w:r w:rsidRPr="00846B0F">
        <w:rPr>
          <w:rFonts w:cs="Times New Roman"/>
        </w:rPr>
        <w:t>UNDP</w:t>
      </w:r>
      <w:r w:rsidRPr="00846B0F">
        <w:rPr>
          <w:rFonts w:cs="Times New Roman"/>
        </w:rPr>
        <w:tab/>
      </w:r>
      <w:r w:rsidRPr="00846B0F">
        <w:rPr>
          <w:rFonts w:cs="Times New Roman"/>
        </w:rPr>
        <w:tab/>
        <w:t>United Nations Development Programme</w:t>
      </w:r>
    </w:p>
    <w:p w14:paraId="26CD44A2" w14:textId="77777777" w:rsidR="00CE104B" w:rsidRDefault="00CE104B" w:rsidP="00D676AA">
      <w:pPr>
        <w:spacing w:after="0" w:line="276" w:lineRule="auto"/>
        <w:rPr>
          <w:rFonts w:cs="Times New Roman"/>
        </w:rPr>
      </w:pPr>
      <w:r w:rsidRPr="00846B0F">
        <w:rPr>
          <w:rFonts w:cs="Times New Roman"/>
        </w:rPr>
        <w:t>USAID</w:t>
      </w:r>
      <w:r w:rsidRPr="00846B0F">
        <w:rPr>
          <w:rFonts w:cs="Times New Roman"/>
        </w:rPr>
        <w:tab/>
        <w:t xml:space="preserve">               United States Agency for International Development</w:t>
      </w:r>
    </w:p>
    <w:p w14:paraId="2BCEB260" w14:textId="77777777" w:rsidR="00A83FF5" w:rsidRDefault="00A83FF5" w:rsidP="00363730">
      <w:pPr>
        <w:spacing w:after="0" w:line="276" w:lineRule="auto"/>
        <w:rPr>
          <w:rFonts w:cs="Times New Roman"/>
          <w:sz w:val="24"/>
          <w:szCs w:val="24"/>
        </w:rPr>
        <w:sectPr w:rsidR="00A83FF5" w:rsidSect="009A66AA">
          <w:footerReference w:type="default" r:id="rId10"/>
          <w:pgSz w:w="11907" w:h="16839" w:code="9"/>
          <w:pgMar w:top="1440" w:right="1080" w:bottom="1440" w:left="1080" w:header="720" w:footer="720" w:gutter="0"/>
          <w:pgNumType w:fmt="lowerRoman"/>
          <w:cols w:space="720"/>
          <w:docGrid w:linePitch="360"/>
        </w:sectPr>
      </w:pPr>
    </w:p>
    <w:p w14:paraId="339DD734" w14:textId="77777777" w:rsidR="00E711D6" w:rsidRPr="00846B0F" w:rsidRDefault="00E711D6" w:rsidP="00363730">
      <w:pPr>
        <w:pStyle w:val="Norway1"/>
        <w:spacing w:line="276" w:lineRule="auto"/>
        <w:rPr>
          <w:rFonts w:cs="Times New Roman"/>
        </w:rPr>
      </w:pPr>
      <w:bookmarkStart w:id="3" w:name="_Toc414459838"/>
      <w:bookmarkStart w:id="4" w:name="_Toc447029777"/>
      <w:r w:rsidRPr="00846B0F">
        <w:rPr>
          <w:rFonts w:cs="Times New Roman"/>
        </w:rPr>
        <w:lastRenderedPageBreak/>
        <w:t>Executive Summary</w:t>
      </w:r>
      <w:bookmarkEnd w:id="3"/>
      <w:bookmarkEnd w:id="4"/>
      <w:r w:rsidRPr="00846B0F">
        <w:rPr>
          <w:rFonts w:cs="Times New Roman"/>
        </w:rPr>
        <w:t xml:space="preserve"> </w:t>
      </w:r>
    </w:p>
    <w:p w14:paraId="4955C6EC" w14:textId="77777777" w:rsidR="00E711D6" w:rsidRPr="00846B0F" w:rsidRDefault="00E711D6" w:rsidP="00174953">
      <w:pPr>
        <w:spacing w:after="0" w:line="276" w:lineRule="auto"/>
        <w:jc w:val="both"/>
        <w:rPr>
          <w:rFonts w:cs="Times New Roman"/>
          <w:sz w:val="24"/>
          <w:szCs w:val="24"/>
        </w:rPr>
      </w:pPr>
    </w:p>
    <w:p w14:paraId="7ABD2E30" w14:textId="77777777" w:rsidR="007D1997" w:rsidRPr="00846B0F" w:rsidRDefault="007D1997" w:rsidP="007D1997">
      <w:pPr>
        <w:spacing w:after="0" w:line="276" w:lineRule="auto"/>
        <w:jc w:val="both"/>
        <w:rPr>
          <w:rFonts w:cs="Times New Roman"/>
          <w:sz w:val="24"/>
          <w:szCs w:val="24"/>
        </w:rPr>
      </w:pPr>
      <w:r w:rsidRPr="00846B0F">
        <w:rPr>
          <w:rFonts w:cs="Times New Roman"/>
          <w:sz w:val="24"/>
          <w:szCs w:val="24"/>
        </w:rPr>
        <w:t xml:space="preserve">The Norwegian Ministry of Foreign Affairs (MFA) and United Nations Development Programme (UNDP) agreed to cooperate in the implementation of the Integrated Support Programme to the Devolution </w:t>
      </w:r>
      <w:r w:rsidR="00FD68E2" w:rsidRPr="00846B0F">
        <w:rPr>
          <w:rFonts w:cs="Times New Roman"/>
          <w:sz w:val="24"/>
          <w:szCs w:val="24"/>
        </w:rPr>
        <w:t>P</w:t>
      </w:r>
      <w:r w:rsidRPr="00846B0F">
        <w:rPr>
          <w:rFonts w:cs="Times New Roman"/>
          <w:sz w:val="24"/>
          <w:szCs w:val="24"/>
        </w:rPr>
        <w:t xml:space="preserve">rocess in Kenya 2014-2018 under agreement number KEN-14/0003 signed in </w:t>
      </w:r>
      <w:r w:rsidR="00FD68E2" w:rsidRPr="00846B0F">
        <w:rPr>
          <w:rFonts w:cs="Times New Roman"/>
          <w:sz w:val="24"/>
          <w:szCs w:val="24"/>
        </w:rPr>
        <w:t xml:space="preserve">December </w:t>
      </w:r>
      <w:r w:rsidRPr="00846B0F">
        <w:rPr>
          <w:rFonts w:cs="Times New Roman"/>
          <w:sz w:val="24"/>
          <w:szCs w:val="24"/>
        </w:rPr>
        <w:t>2014. The MFA pledged to contribute Norwegian Kroner (NOK) 10,500,000 to the UNDP basket</w:t>
      </w:r>
      <w:r w:rsidR="00FD68E2" w:rsidRPr="00846B0F">
        <w:rPr>
          <w:rFonts w:cs="Times New Roman"/>
          <w:sz w:val="24"/>
          <w:szCs w:val="24"/>
        </w:rPr>
        <w:t xml:space="preserve"> managed resources</w:t>
      </w:r>
      <w:r w:rsidRPr="00846B0F">
        <w:rPr>
          <w:rFonts w:cs="Times New Roman"/>
          <w:sz w:val="24"/>
          <w:szCs w:val="24"/>
        </w:rPr>
        <w:t xml:space="preserve">. </w:t>
      </w:r>
      <w:r w:rsidR="00603BF2" w:rsidRPr="00846B0F">
        <w:rPr>
          <w:rFonts w:cs="Times New Roman"/>
          <w:sz w:val="24"/>
          <w:szCs w:val="24"/>
        </w:rPr>
        <w:t xml:space="preserve">To date, the Government of Norway has disbursed a total of </w:t>
      </w:r>
      <w:r w:rsidRPr="00846B0F">
        <w:rPr>
          <w:rFonts w:cs="Times New Roman"/>
          <w:sz w:val="24"/>
          <w:szCs w:val="24"/>
        </w:rPr>
        <w:t xml:space="preserve">NOK </w:t>
      </w:r>
      <w:r w:rsidR="00603BF2" w:rsidRPr="00846B0F">
        <w:rPr>
          <w:rFonts w:cs="Times New Roman"/>
          <w:sz w:val="24"/>
          <w:szCs w:val="24"/>
        </w:rPr>
        <w:t>9,0</w:t>
      </w:r>
      <w:r w:rsidR="00212923" w:rsidRPr="00846B0F">
        <w:rPr>
          <w:rFonts w:cs="Times New Roman"/>
          <w:sz w:val="24"/>
          <w:szCs w:val="24"/>
        </w:rPr>
        <w:t xml:space="preserve">00,000 </w:t>
      </w:r>
      <w:r w:rsidR="00603BF2" w:rsidRPr="00846B0F">
        <w:rPr>
          <w:rFonts w:cs="Times New Roman"/>
          <w:sz w:val="24"/>
          <w:szCs w:val="24"/>
        </w:rPr>
        <w:t>with the first disbursement of NOK 6,500</w:t>
      </w:r>
      <w:r w:rsidR="007B420A" w:rsidRPr="00846B0F">
        <w:rPr>
          <w:rFonts w:cs="Times New Roman"/>
          <w:sz w:val="24"/>
          <w:szCs w:val="24"/>
        </w:rPr>
        <w:t>,000</w:t>
      </w:r>
      <w:r w:rsidR="00603BF2" w:rsidRPr="00846B0F">
        <w:rPr>
          <w:rFonts w:cs="Times New Roman"/>
          <w:sz w:val="24"/>
          <w:szCs w:val="24"/>
        </w:rPr>
        <w:t xml:space="preserve"> done in December 2014 while the </w:t>
      </w:r>
      <w:r w:rsidR="00212923" w:rsidRPr="00846B0F">
        <w:rPr>
          <w:rFonts w:cs="Times New Roman"/>
          <w:sz w:val="24"/>
          <w:szCs w:val="24"/>
        </w:rPr>
        <w:t>second</w:t>
      </w:r>
      <w:r w:rsidR="00136414" w:rsidRPr="00846B0F">
        <w:rPr>
          <w:rFonts w:cs="Times New Roman"/>
          <w:sz w:val="24"/>
          <w:szCs w:val="24"/>
        </w:rPr>
        <w:t xml:space="preserve"> </w:t>
      </w:r>
      <w:r w:rsidR="00212923" w:rsidRPr="00846B0F">
        <w:rPr>
          <w:rFonts w:cs="Times New Roman"/>
          <w:sz w:val="24"/>
          <w:szCs w:val="24"/>
        </w:rPr>
        <w:t xml:space="preserve">disbursement </w:t>
      </w:r>
      <w:r w:rsidR="001827B8" w:rsidRPr="00846B0F">
        <w:rPr>
          <w:rFonts w:cs="Times New Roman"/>
          <w:sz w:val="24"/>
          <w:szCs w:val="24"/>
        </w:rPr>
        <w:t>amounting to</w:t>
      </w:r>
      <w:r w:rsidR="00212923" w:rsidRPr="00846B0F">
        <w:rPr>
          <w:rFonts w:cs="Times New Roman"/>
          <w:sz w:val="24"/>
          <w:szCs w:val="24"/>
        </w:rPr>
        <w:t xml:space="preserve"> NOK </w:t>
      </w:r>
      <w:r w:rsidR="00136414" w:rsidRPr="00846B0F">
        <w:rPr>
          <w:rFonts w:cs="Times New Roman"/>
          <w:sz w:val="24"/>
          <w:szCs w:val="24"/>
        </w:rPr>
        <w:t>2,</w:t>
      </w:r>
      <w:r w:rsidR="001827B8" w:rsidRPr="00846B0F">
        <w:rPr>
          <w:rFonts w:cs="Times New Roman"/>
          <w:sz w:val="24"/>
          <w:szCs w:val="24"/>
        </w:rPr>
        <w:t>5</w:t>
      </w:r>
      <w:r w:rsidR="00136414" w:rsidRPr="00846B0F">
        <w:rPr>
          <w:rFonts w:cs="Times New Roman"/>
          <w:sz w:val="24"/>
          <w:szCs w:val="24"/>
        </w:rPr>
        <w:t xml:space="preserve">00,000 </w:t>
      </w:r>
      <w:r w:rsidR="00603BF2" w:rsidRPr="00846B0F">
        <w:rPr>
          <w:rFonts w:cs="Times New Roman"/>
          <w:sz w:val="24"/>
          <w:szCs w:val="24"/>
        </w:rPr>
        <w:t xml:space="preserve">was done </w:t>
      </w:r>
      <w:r w:rsidR="001827B8" w:rsidRPr="00846B0F">
        <w:rPr>
          <w:rFonts w:cs="Times New Roman"/>
          <w:sz w:val="24"/>
          <w:szCs w:val="24"/>
        </w:rPr>
        <w:t>in September 2015</w:t>
      </w:r>
      <w:r w:rsidR="00136414" w:rsidRPr="00846B0F">
        <w:rPr>
          <w:rFonts w:cs="Times New Roman"/>
          <w:sz w:val="24"/>
          <w:szCs w:val="24"/>
        </w:rPr>
        <w:t>.</w:t>
      </w:r>
    </w:p>
    <w:p w14:paraId="46A1DB34" w14:textId="77777777" w:rsidR="00A20CB9" w:rsidRPr="00846B0F" w:rsidRDefault="00A20CB9" w:rsidP="00A20CB9">
      <w:pPr>
        <w:spacing w:after="0" w:line="276" w:lineRule="auto"/>
        <w:jc w:val="both"/>
        <w:rPr>
          <w:rFonts w:cs="Times New Roman"/>
          <w:sz w:val="24"/>
          <w:szCs w:val="24"/>
        </w:rPr>
      </w:pPr>
    </w:p>
    <w:p w14:paraId="4A6325CB" w14:textId="77777777" w:rsidR="00966CEA" w:rsidRPr="00846B0F" w:rsidRDefault="00966CEA" w:rsidP="00A20CB9">
      <w:pPr>
        <w:spacing w:after="0" w:line="276" w:lineRule="auto"/>
        <w:jc w:val="both"/>
        <w:rPr>
          <w:rFonts w:cs="Times New Roman"/>
          <w:sz w:val="24"/>
          <w:szCs w:val="24"/>
        </w:rPr>
      </w:pPr>
      <w:r w:rsidRPr="00846B0F">
        <w:rPr>
          <w:rFonts w:cs="Times New Roman"/>
          <w:sz w:val="24"/>
          <w:szCs w:val="24"/>
        </w:rPr>
        <w:t>The MFA contribution support</w:t>
      </w:r>
      <w:r w:rsidR="00FF26EA">
        <w:rPr>
          <w:rFonts w:cs="Times New Roman"/>
          <w:sz w:val="24"/>
          <w:szCs w:val="24"/>
        </w:rPr>
        <w:t>ed</w:t>
      </w:r>
      <w:r w:rsidRPr="00846B0F">
        <w:rPr>
          <w:rFonts w:cs="Times New Roman"/>
          <w:sz w:val="24"/>
          <w:szCs w:val="24"/>
        </w:rPr>
        <w:t xml:space="preserve"> the following Key Result Areas (KRAs) of the programme as identified in the project document</w:t>
      </w:r>
      <w:r w:rsidR="00FF26EA">
        <w:rPr>
          <w:rFonts w:cs="Times New Roman"/>
          <w:sz w:val="24"/>
          <w:szCs w:val="24"/>
        </w:rPr>
        <w:t>:</w:t>
      </w:r>
      <w:r w:rsidRPr="00846B0F">
        <w:rPr>
          <w:rFonts w:cs="Times New Roman"/>
          <w:sz w:val="24"/>
          <w:szCs w:val="24"/>
        </w:rPr>
        <w:t xml:space="preserve"> policy and legal framework</w:t>
      </w:r>
      <w:r w:rsidR="00480759" w:rsidRPr="00846B0F">
        <w:rPr>
          <w:rFonts w:cs="Times New Roman"/>
          <w:sz w:val="24"/>
          <w:szCs w:val="24"/>
        </w:rPr>
        <w:t>;</w:t>
      </w:r>
      <w:r w:rsidRPr="00846B0F">
        <w:rPr>
          <w:rFonts w:cs="Times New Roman"/>
          <w:sz w:val="24"/>
          <w:szCs w:val="24"/>
        </w:rPr>
        <w:t xml:space="preserve"> capacity building for individuals and institutions supporting devolution</w:t>
      </w:r>
      <w:r w:rsidR="00480759" w:rsidRPr="00846B0F">
        <w:rPr>
          <w:rFonts w:cs="Times New Roman"/>
          <w:sz w:val="24"/>
          <w:szCs w:val="24"/>
        </w:rPr>
        <w:t>;</w:t>
      </w:r>
      <w:r w:rsidRPr="00846B0F">
        <w:rPr>
          <w:rFonts w:cs="Times New Roman"/>
          <w:sz w:val="24"/>
          <w:szCs w:val="24"/>
        </w:rPr>
        <w:t xml:space="preserve"> strengthened service delivery mechanisms</w:t>
      </w:r>
      <w:r w:rsidR="009B4E1C" w:rsidRPr="00846B0F">
        <w:rPr>
          <w:rFonts w:cs="Times New Roman"/>
          <w:sz w:val="24"/>
          <w:szCs w:val="24"/>
        </w:rPr>
        <w:t>; peaceful</w:t>
      </w:r>
      <w:r w:rsidRPr="00846B0F">
        <w:rPr>
          <w:rFonts w:cs="Times New Roman"/>
          <w:sz w:val="24"/>
          <w:szCs w:val="24"/>
        </w:rPr>
        <w:t xml:space="preserve"> co-existence at </w:t>
      </w:r>
      <w:r w:rsidR="00DD2B11" w:rsidRPr="00846B0F">
        <w:rPr>
          <w:rFonts w:cs="Times New Roman"/>
          <w:sz w:val="24"/>
          <w:szCs w:val="24"/>
        </w:rPr>
        <w:t>c</w:t>
      </w:r>
      <w:r w:rsidRPr="00846B0F">
        <w:rPr>
          <w:rFonts w:cs="Times New Roman"/>
          <w:sz w:val="24"/>
          <w:szCs w:val="24"/>
        </w:rPr>
        <w:t xml:space="preserve">ounty and </w:t>
      </w:r>
      <w:r w:rsidR="00DD2B11" w:rsidRPr="00846B0F">
        <w:rPr>
          <w:rFonts w:cs="Times New Roman"/>
          <w:sz w:val="24"/>
          <w:szCs w:val="24"/>
        </w:rPr>
        <w:t>s</w:t>
      </w:r>
      <w:r w:rsidRPr="00846B0F">
        <w:rPr>
          <w:rFonts w:cs="Times New Roman"/>
          <w:sz w:val="24"/>
          <w:szCs w:val="24"/>
        </w:rPr>
        <w:t>ub-</w:t>
      </w:r>
      <w:r w:rsidR="00DD2B11" w:rsidRPr="00846B0F">
        <w:rPr>
          <w:rFonts w:cs="Times New Roman"/>
          <w:sz w:val="24"/>
          <w:szCs w:val="24"/>
        </w:rPr>
        <w:t>c</w:t>
      </w:r>
      <w:r w:rsidRPr="00846B0F">
        <w:rPr>
          <w:rFonts w:cs="Times New Roman"/>
          <w:sz w:val="24"/>
          <w:szCs w:val="24"/>
        </w:rPr>
        <w:t>ounty levels</w:t>
      </w:r>
      <w:r w:rsidR="00480759" w:rsidRPr="00846B0F">
        <w:rPr>
          <w:rFonts w:cs="Times New Roman"/>
          <w:sz w:val="24"/>
          <w:szCs w:val="24"/>
        </w:rPr>
        <w:t>;</w:t>
      </w:r>
      <w:r w:rsidRPr="00846B0F">
        <w:rPr>
          <w:rFonts w:cs="Times New Roman"/>
          <w:sz w:val="24"/>
          <w:szCs w:val="24"/>
        </w:rPr>
        <w:t xml:space="preserve"> administration/management costs. The support was </w:t>
      </w:r>
      <w:r w:rsidR="00ED3664" w:rsidRPr="00846B0F">
        <w:rPr>
          <w:rFonts w:cs="Times New Roman"/>
          <w:sz w:val="24"/>
          <w:szCs w:val="24"/>
        </w:rPr>
        <w:t xml:space="preserve">also </w:t>
      </w:r>
      <w:r w:rsidR="00FD68E2" w:rsidRPr="00846B0F">
        <w:rPr>
          <w:rFonts w:cs="Times New Roman"/>
          <w:sz w:val="24"/>
          <w:szCs w:val="24"/>
        </w:rPr>
        <w:t xml:space="preserve">targeted to </w:t>
      </w:r>
      <w:r w:rsidRPr="00846B0F">
        <w:rPr>
          <w:rFonts w:cs="Times New Roman"/>
          <w:sz w:val="24"/>
          <w:szCs w:val="24"/>
        </w:rPr>
        <w:t>the Commission on Revenue Allocation (CRA) responsible for equitable allocations to Counties, the Transition Authority (TA) facilitating devolution, project specific activities related to the Council of Governors (</w:t>
      </w:r>
      <w:proofErr w:type="spellStart"/>
      <w:r w:rsidRPr="00846B0F">
        <w:rPr>
          <w:rFonts w:cs="Times New Roman"/>
          <w:sz w:val="24"/>
          <w:szCs w:val="24"/>
        </w:rPr>
        <w:t>CoG</w:t>
      </w:r>
      <w:proofErr w:type="spellEnd"/>
      <w:r w:rsidRPr="00846B0F">
        <w:rPr>
          <w:rFonts w:cs="Times New Roman"/>
          <w:sz w:val="24"/>
          <w:szCs w:val="24"/>
        </w:rPr>
        <w:t xml:space="preserve">) and </w:t>
      </w:r>
      <w:r w:rsidR="00FF26EA">
        <w:rPr>
          <w:rFonts w:cs="Times New Roman"/>
          <w:sz w:val="24"/>
          <w:szCs w:val="24"/>
        </w:rPr>
        <w:t xml:space="preserve">the </w:t>
      </w:r>
      <w:r w:rsidRPr="00846B0F">
        <w:rPr>
          <w:rFonts w:cs="Times New Roman"/>
          <w:sz w:val="24"/>
          <w:szCs w:val="24"/>
        </w:rPr>
        <w:t>Kenya School of Government (KSG)</w:t>
      </w:r>
      <w:r w:rsidR="00FF26EA">
        <w:rPr>
          <w:rFonts w:cs="Times New Roman"/>
          <w:sz w:val="24"/>
          <w:szCs w:val="24"/>
        </w:rPr>
        <w:t>.</w:t>
      </w:r>
      <w:r w:rsidR="00ED3664" w:rsidRPr="00846B0F">
        <w:rPr>
          <w:rFonts w:cs="Times New Roman"/>
          <w:sz w:val="24"/>
          <w:szCs w:val="24"/>
        </w:rPr>
        <w:t xml:space="preserve"> </w:t>
      </w:r>
    </w:p>
    <w:p w14:paraId="58ADB6A9" w14:textId="77777777" w:rsidR="00A20CB9" w:rsidRPr="00846B0F" w:rsidRDefault="00A20CB9" w:rsidP="00A20CB9">
      <w:pPr>
        <w:spacing w:after="0" w:line="276" w:lineRule="auto"/>
        <w:jc w:val="both"/>
        <w:rPr>
          <w:rFonts w:cs="Times New Roman"/>
          <w:sz w:val="24"/>
          <w:szCs w:val="24"/>
        </w:rPr>
      </w:pPr>
    </w:p>
    <w:p w14:paraId="1B454A0A" w14:textId="77777777" w:rsidR="00174953" w:rsidRPr="00846B0F" w:rsidRDefault="007D1997" w:rsidP="00A20CB9">
      <w:pPr>
        <w:spacing w:after="0" w:line="276" w:lineRule="auto"/>
        <w:jc w:val="both"/>
        <w:rPr>
          <w:rFonts w:cs="Times New Roman"/>
          <w:sz w:val="24"/>
          <w:szCs w:val="24"/>
        </w:rPr>
      </w:pPr>
      <w:r w:rsidRPr="00846B0F">
        <w:rPr>
          <w:rFonts w:cs="Times New Roman"/>
          <w:sz w:val="24"/>
          <w:szCs w:val="24"/>
        </w:rPr>
        <w:t xml:space="preserve">The UNDP utilized the support to continue playing a strategic role in supporting the </w:t>
      </w:r>
      <w:r w:rsidR="00625FF0" w:rsidRPr="00846B0F">
        <w:rPr>
          <w:rFonts w:cs="Times New Roman"/>
          <w:sz w:val="24"/>
          <w:szCs w:val="24"/>
        </w:rPr>
        <w:t xml:space="preserve">implementation of </w:t>
      </w:r>
      <w:r w:rsidRPr="00846B0F">
        <w:rPr>
          <w:rFonts w:cs="Times New Roman"/>
          <w:sz w:val="24"/>
          <w:szCs w:val="24"/>
        </w:rPr>
        <w:t xml:space="preserve">devolution by strengthening the prioritized institutions to </w:t>
      </w:r>
      <w:r w:rsidR="00FD68E2" w:rsidRPr="00846B0F">
        <w:rPr>
          <w:rFonts w:cs="Times New Roman"/>
          <w:sz w:val="24"/>
          <w:szCs w:val="24"/>
        </w:rPr>
        <w:t>develop</w:t>
      </w:r>
      <w:r w:rsidRPr="00846B0F">
        <w:rPr>
          <w:rFonts w:cs="Times New Roman"/>
          <w:sz w:val="24"/>
          <w:szCs w:val="24"/>
        </w:rPr>
        <w:t xml:space="preserve"> appropriate regulatory frameworks and </w:t>
      </w:r>
      <w:r w:rsidR="00FD68E2" w:rsidRPr="00846B0F">
        <w:rPr>
          <w:rFonts w:cs="Times New Roman"/>
          <w:sz w:val="24"/>
          <w:szCs w:val="24"/>
        </w:rPr>
        <w:t xml:space="preserve">enhance their </w:t>
      </w:r>
      <w:r w:rsidRPr="00846B0F">
        <w:rPr>
          <w:rFonts w:cs="Times New Roman"/>
          <w:sz w:val="24"/>
          <w:szCs w:val="24"/>
        </w:rPr>
        <w:t xml:space="preserve">capacities </w:t>
      </w:r>
      <w:r w:rsidR="00FD68E2" w:rsidRPr="00846B0F">
        <w:rPr>
          <w:rFonts w:cs="Times New Roman"/>
          <w:sz w:val="24"/>
          <w:szCs w:val="24"/>
        </w:rPr>
        <w:t>for</w:t>
      </w:r>
      <w:r w:rsidRPr="00846B0F">
        <w:rPr>
          <w:rFonts w:cs="Times New Roman"/>
          <w:sz w:val="24"/>
          <w:szCs w:val="24"/>
        </w:rPr>
        <w:t xml:space="preserve"> equitable service delivery. In particular, the support </w:t>
      </w:r>
      <w:r w:rsidR="00FD68E2" w:rsidRPr="00846B0F">
        <w:rPr>
          <w:rFonts w:cs="Times New Roman"/>
          <w:sz w:val="24"/>
          <w:szCs w:val="24"/>
        </w:rPr>
        <w:t xml:space="preserve">contributed to the implementation of the </w:t>
      </w:r>
      <w:r w:rsidR="00DB1DAF" w:rsidRPr="00846B0F">
        <w:rPr>
          <w:rFonts w:cs="Times New Roman"/>
          <w:sz w:val="24"/>
          <w:szCs w:val="24"/>
        </w:rPr>
        <w:t xml:space="preserve">medium term training interventions in the </w:t>
      </w:r>
      <w:r w:rsidR="00FD68E2" w:rsidRPr="00846B0F">
        <w:rPr>
          <w:rFonts w:cs="Times New Roman"/>
          <w:sz w:val="24"/>
          <w:szCs w:val="24"/>
        </w:rPr>
        <w:t xml:space="preserve">National Capacity </w:t>
      </w:r>
      <w:r w:rsidR="00FD68E2" w:rsidRPr="00846B0F">
        <w:rPr>
          <w:rFonts w:cs="Times New Roman"/>
          <w:sz w:val="24"/>
          <w:szCs w:val="24"/>
        </w:rPr>
        <w:lastRenderedPageBreak/>
        <w:t>Building Framework</w:t>
      </w:r>
      <w:r w:rsidR="00DB1DAF" w:rsidRPr="00846B0F">
        <w:rPr>
          <w:rFonts w:cs="Times New Roman"/>
          <w:sz w:val="24"/>
          <w:szCs w:val="24"/>
        </w:rPr>
        <w:t xml:space="preserve"> (NCBF). </w:t>
      </w:r>
      <w:r w:rsidR="00463723" w:rsidRPr="00846B0F">
        <w:rPr>
          <w:rFonts w:cs="Times New Roman"/>
          <w:sz w:val="24"/>
          <w:szCs w:val="24"/>
        </w:rPr>
        <w:t>The</w:t>
      </w:r>
      <w:r w:rsidRPr="00846B0F">
        <w:rPr>
          <w:rFonts w:cs="Times New Roman"/>
          <w:sz w:val="24"/>
          <w:szCs w:val="24"/>
        </w:rPr>
        <w:t xml:space="preserve"> KSG </w:t>
      </w:r>
      <w:r w:rsidR="00463723" w:rsidRPr="00846B0F">
        <w:rPr>
          <w:rFonts w:cs="Times New Roman"/>
          <w:sz w:val="24"/>
          <w:szCs w:val="24"/>
        </w:rPr>
        <w:t xml:space="preserve">finalized </w:t>
      </w:r>
      <w:r w:rsidR="00FD68E2" w:rsidRPr="00846B0F">
        <w:rPr>
          <w:rFonts w:cs="Times New Roman"/>
          <w:sz w:val="24"/>
          <w:szCs w:val="24"/>
        </w:rPr>
        <w:t xml:space="preserve">and </w:t>
      </w:r>
      <w:r w:rsidR="00B56342" w:rsidRPr="00846B0F">
        <w:rPr>
          <w:rFonts w:cs="Times New Roman"/>
          <w:sz w:val="24"/>
          <w:szCs w:val="24"/>
        </w:rPr>
        <w:t>launch</w:t>
      </w:r>
      <w:r w:rsidR="00463723" w:rsidRPr="00846B0F">
        <w:rPr>
          <w:rFonts w:cs="Times New Roman"/>
          <w:sz w:val="24"/>
          <w:szCs w:val="24"/>
        </w:rPr>
        <w:t>ed</w:t>
      </w:r>
      <w:r w:rsidR="00B56342" w:rsidRPr="00846B0F">
        <w:rPr>
          <w:rFonts w:cs="Times New Roman"/>
          <w:sz w:val="24"/>
          <w:szCs w:val="24"/>
        </w:rPr>
        <w:t xml:space="preserve"> </w:t>
      </w:r>
      <w:r w:rsidR="00212923" w:rsidRPr="00846B0F">
        <w:rPr>
          <w:rFonts w:cs="Times New Roman"/>
          <w:sz w:val="24"/>
          <w:szCs w:val="24"/>
        </w:rPr>
        <w:t>five curricula to build capacity of government staff in order to enhance delivery of devolution services</w:t>
      </w:r>
      <w:r w:rsidRPr="00846B0F">
        <w:rPr>
          <w:rFonts w:cs="Times New Roman"/>
          <w:sz w:val="24"/>
          <w:szCs w:val="24"/>
        </w:rPr>
        <w:t>. The KSG also used the support to undertake a Training of Trainers (</w:t>
      </w:r>
      <w:proofErr w:type="spellStart"/>
      <w:r w:rsidRPr="00846B0F">
        <w:rPr>
          <w:rFonts w:cs="Times New Roman"/>
          <w:sz w:val="24"/>
          <w:szCs w:val="24"/>
        </w:rPr>
        <w:t>ToTs</w:t>
      </w:r>
      <w:proofErr w:type="spellEnd"/>
      <w:r w:rsidRPr="00846B0F">
        <w:rPr>
          <w:rFonts w:cs="Times New Roman"/>
          <w:sz w:val="24"/>
          <w:szCs w:val="24"/>
        </w:rPr>
        <w:t xml:space="preserve">) where 222 </w:t>
      </w:r>
      <w:proofErr w:type="spellStart"/>
      <w:r w:rsidRPr="00846B0F">
        <w:rPr>
          <w:rFonts w:cs="Times New Roman"/>
          <w:sz w:val="24"/>
          <w:szCs w:val="24"/>
        </w:rPr>
        <w:t>ToTs</w:t>
      </w:r>
      <w:proofErr w:type="spellEnd"/>
      <w:r w:rsidRPr="00846B0F">
        <w:rPr>
          <w:rFonts w:cs="Times New Roman"/>
          <w:sz w:val="24"/>
          <w:szCs w:val="24"/>
        </w:rPr>
        <w:t xml:space="preserve"> were trained in the five modules. This pool of trainers will help KSG roll out the five modules to counties leading to strengthened governance and accelerated implementation of devolution. </w:t>
      </w:r>
      <w:r w:rsidR="00463723" w:rsidRPr="00846B0F">
        <w:rPr>
          <w:rFonts w:cs="Times New Roman"/>
          <w:sz w:val="24"/>
          <w:szCs w:val="24"/>
        </w:rPr>
        <w:t>The</w:t>
      </w:r>
      <w:r w:rsidRPr="00846B0F">
        <w:rPr>
          <w:rFonts w:cs="Times New Roman"/>
          <w:sz w:val="24"/>
          <w:szCs w:val="24"/>
        </w:rPr>
        <w:t xml:space="preserve"> TA and CRA </w:t>
      </w:r>
      <w:r w:rsidR="00463723" w:rsidRPr="00846B0F">
        <w:rPr>
          <w:rFonts w:cs="Times New Roman"/>
          <w:sz w:val="24"/>
          <w:szCs w:val="24"/>
        </w:rPr>
        <w:t>undertook</w:t>
      </w:r>
      <w:r w:rsidRPr="00846B0F">
        <w:rPr>
          <w:rFonts w:cs="Times New Roman"/>
          <w:sz w:val="24"/>
          <w:szCs w:val="24"/>
        </w:rPr>
        <w:t xml:space="preserve"> costing of government functions in five sectors of the economy </w:t>
      </w:r>
      <w:r w:rsidR="00C36141" w:rsidRPr="00846B0F">
        <w:rPr>
          <w:rFonts w:cs="Times New Roman"/>
          <w:sz w:val="24"/>
          <w:szCs w:val="24"/>
        </w:rPr>
        <w:t>in order</w:t>
      </w:r>
      <w:r w:rsidR="00174953" w:rsidRPr="00846B0F">
        <w:rPr>
          <w:rFonts w:cs="Times New Roman"/>
          <w:sz w:val="24"/>
          <w:szCs w:val="24"/>
        </w:rPr>
        <w:t xml:space="preserve"> to determine the realistic quantum or proportion of funds and other resources necessary for the performance of the functions assigned to the </w:t>
      </w:r>
      <w:r w:rsidR="00DD2B11" w:rsidRPr="00846B0F">
        <w:rPr>
          <w:rFonts w:cs="Times New Roman"/>
          <w:sz w:val="24"/>
          <w:szCs w:val="24"/>
        </w:rPr>
        <w:t>n</w:t>
      </w:r>
      <w:r w:rsidR="00174953" w:rsidRPr="00846B0F">
        <w:rPr>
          <w:rFonts w:cs="Times New Roman"/>
          <w:sz w:val="24"/>
          <w:szCs w:val="24"/>
        </w:rPr>
        <w:t xml:space="preserve">ational and </w:t>
      </w:r>
      <w:r w:rsidR="00DD2B11" w:rsidRPr="00846B0F">
        <w:rPr>
          <w:rFonts w:cs="Times New Roman"/>
          <w:sz w:val="24"/>
          <w:szCs w:val="24"/>
        </w:rPr>
        <w:t>c</w:t>
      </w:r>
      <w:r w:rsidR="00174953" w:rsidRPr="00846B0F">
        <w:rPr>
          <w:rFonts w:cs="Times New Roman"/>
          <w:sz w:val="24"/>
          <w:szCs w:val="24"/>
        </w:rPr>
        <w:t xml:space="preserve">ounty </w:t>
      </w:r>
      <w:r w:rsidR="00DD2B11" w:rsidRPr="00846B0F">
        <w:rPr>
          <w:rFonts w:cs="Times New Roman"/>
          <w:sz w:val="24"/>
          <w:szCs w:val="24"/>
        </w:rPr>
        <w:t>g</w:t>
      </w:r>
      <w:r w:rsidR="00174953" w:rsidRPr="00846B0F">
        <w:rPr>
          <w:rFonts w:cs="Times New Roman"/>
          <w:sz w:val="24"/>
          <w:szCs w:val="24"/>
        </w:rPr>
        <w:t xml:space="preserve">overnments. </w:t>
      </w:r>
      <w:r w:rsidR="00C36141" w:rsidRPr="00846B0F">
        <w:rPr>
          <w:rFonts w:cs="Times New Roman"/>
          <w:sz w:val="24"/>
          <w:szCs w:val="24"/>
        </w:rPr>
        <w:t xml:space="preserve">The costing of government functions report was </w:t>
      </w:r>
      <w:proofErr w:type="spellStart"/>
      <w:r w:rsidR="00C36141" w:rsidRPr="00846B0F">
        <w:rPr>
          <w:rFonts w:cs="Times New Roman"/>
          <w:sz w:val="24"/>
          <w:szCs w:val="24"/>
        </w:rPr>
        <w:t>finalised</w:t>
      </w:r>
      <w:proofErr w:type="spellEnd"/>
      <w:r w:rsidR="00C36141" w:rsidRPr="00846B0F">
        <w:rPr>
          <w:rFonts w:cs="Times New Roman"/>
          <w:sz w:val="24"/>
          <w:szCs w:val="24"/>
        </w:rPr>
        <w:t xml:space="preserve"> </w:t>
      </w:r>
      <w:r w:rsidR="006220E6" w:rsidRPr="00846B0F">
        <w:rPr>
          <w:rFonts w:cs="Times New Roman"/>
          <w:sz w:val="24"/>
          <w:szCs w:val="24"/>
        </w:rPr>
        <w:t xml:space="preserve">and is </w:t>
      </w:r>
      <w:r w:rsidR="00C36141" w:rsidRPr="00846B0F">
        <w:rPr>
          <w:rFonts w:cs="Times New Roman"/>
          <w:sz w:val="24"/>
          <w:szCs w:val="24"/>
        </w:rPr>
        <w:t>awaiting implementation of its recommendation</w:t>
      </w:r>
      <w:r w:rsidR="00172457">
        <w:rPr>
          <w:rFonts w:cs="Times New Roman"/>
          <w:sz w:val="24"/>
          <w:szCs w:val="24"/>
        </w:rPr>
        <w:t>s</w:t>
      </w:r>
      <w:r w:rsidR="00C36141" w:rsidRPr="00846B0F">
        <w:rPr>
          <w:rFonts w:cs="Times New Roman"/>
          <w:sz w:val="24"/>
          <w:szCs w:val="24"/>
        </w:rPr>
        <w:t xml:space="preserve">. </w:t>
      </w:r>
    </w:p>
    <w:p w14:paraId="4C36108A" w14:textId="77777777" w:rsidR="003D251A" w:rsidRPr="00846B0F" w:rsidRDefault="003D251A" w:rsidP="00423FE4">
      <w:pPr>
        <w:spacing w:after="0" w:line="276" w:lineRule="auto"/>
        <w:jc w:val="both"/>
        <w:rPr>
          <w:rFonts w:cs="Times New Roman"/>
          <w:sz w:val="24"/>
          <w:szCs w:val="24"/>
        </w:rPr>
      </w:pPr>
    </w:p>
    <w:p w14:paraId="51254CBB" w14:textId="77777777" w:rsidR="0097539D" w:rsidRPr="00846B0F" w:rsidRDefault="00463723" w:rsidP="0097539D">
      <w:pPr>
        <w:spacing w:after="0" w:line="276" w:lineRule="auto"/>
        <w:jc w:val="both"/>
        <w:rPr>
          <w:rFonts w:cs="Times New Roman"/>
          <w:sz w:val="24"/>
          <w:szCs w:val="24"/>
        </w:rPr>
      </w:pPr>
      <w:r w:rsidRPr="00846B0F">
        <w:rPr>
          <w:rFonts w:cs="Times New Roman"/>
          <w:color w:val="000000" w:themeColor="text1"/>
          <w:sz w:val="24"/>
          <w:szCs w:val="24"/>
        </w:rPr>
        <w:t>Project management</w:t>
      </w:r>
      <w:r w:rsidR="0097539D" w:rsidRPr="00846B0F">
        <w:rPr>
          <w:rFonts w:cs="Times New Roman"/>
          <w:color w:val="000000" w:themeColor="text1"/>
          <w:sz w:val="24"/>
          <w:szCs w:val="24"/>
        </w:rPr>
        <w:t xml:space="preserve"> </w:t>
      </w:r>
      <w:r w:rsidRPr="00846B0F">
        <w:rPr>
          <w:rFonts w:cs="Times New Roman"/>
          <w:color w:val="000000" w:themeColor="text1"/>
          <w:sz w:val="24"/>
          <w:szCs w:val="24"/>
        </w:rPr>
        <w:t>was strengthened</w:t>
      </w:r>
      <w:r w:rsidR="0097539D" w:rsidRPr="00846B0F">
        <w:rPr>
          <w:rFonts w:cs="Times New Roman"/>
          <w:color w:val="000000" w:themeColor="text1"/>
          <w:sz w:val="24"/>
          <w:szCs w:val="24"/>
        </w:rPr>
        <w:t xml:space="preserve"> </w:t>
      </w:r>
      <w:r w:rsidRPr="00846B0F">
        <w:rPr>
          <w:rFonts w:cs="Times New Roman"/>
          <w:color w:val="000000" w:themeColor="text1"/>
          <w:sz w:val="24"/>
          <w:szCs w:val="24"/>
        </w:rPr>
        <w:t xml:space="preserve">through two </w:t>
      </w:r>
      <w:r w:rsidR="00C36141" w:rsidRPr="00846B0F">
        <w:rPr>
          <w:rFonts w:cs="Times New Roman"/>
          <w:color w:val="000000" w:themeColor="text1"/>
          <w:sz w:val="24"/>
          <w:szCs w:val="24"/>
        </w:rPr>
        <w:t xml:space="preserve">training </w:t>
      </w:r>
      <w:r w:rsidRPr="00846B0F">
        <w:rPr>
          <w:rFonts w:cs="Times New Roman"/>
          <w:color w:val="000000" w:themeColor="text1"/>
          <w:sz w:val="24"/>
          <w:szCs w:val="24"/>
        </w:rPr>
        <w:t>workshops for Implementing</w:t>
      </w:r>
      <w:r w:rsidR="00625FF0" w:rsidRPr="00846B0F">
        <w:rPr>
          <w:rFonts w:cs="Times New Roman"/>
          <w:color w:val="000000" w:themeColor="text1"/>
          <w:sz w:val="24"/>
          <w:szCs w:val="24"/>
        </w:rPr>
        <w:t xml:space="preserve"> Partners</w:t>
      </w:r>
      <w:r w:rsidR="0069759A" w:rsidRPr="00846B0F">
        <w:rPr>
          <w:rFonts w:cs="Times New Roman"/>
          <w:color w:val="000000" w:themeColor="text1"/>
          <w:sz w:val="24"/>
          <w:szCs w:val="24"/>
        </w:rPr>
        <w:t xml:space="preserve"> (</w:t>
      </w:r>
      <w:r w:rsidR="0097539D" w:rsidRPr="00846B0F">
        <w:rPr>
          <w:rFonts w:cs="Times New Roman"/>
          <w:color w:val="000000" w:themeColor="text1"/>
          <w:sz w:val="24"/>
          <w:szCs w:val="24"/>
        </w:rPr>
        <w:t>IPs</w:t>
      </w:r>
      <w:r w:rsidR="0069759A" w:rsidRPr="00846B0F">
        <w:rPr>
          <w:rFonts w:cs="Times New Roman"/>
          <w:color w:val="000000" w:themeColor="text1"/>
          <w:sz w:val="24"/>
          <w:szCs w:val="24"/>
        </w:rPr>
        <w:t>)</w:t>
      </w:r>
      <w:r w:rsidRPr="00846B0F">
        <w:rPr>
          <w:rFonts w:cs="Times New Roman"/>
          <w:color w:val="000000" w:themeColor="text1"/>
          <w:sz w:val="24"/>
          <w:szCs w:val="24"/>
        </w:rPr>
        <w:t>. The purpose of the workshops was to increase IPs</w:t>
      </w:r>
      <w:r w:rsidR="00172457">
        <w:rPr>
          <w:rFonts w:cs="Times New Roman"/>
          <w:color w:val="000000" w:themeColor="text1"/>
          <w:sz w:val="24"/>
          <w:szCs w:val="24"/>
        </w:rPr>
        <w:t>’</w:t>
      </w:r>
      <w:r w:rsidRPr="00846B0F">
        <w:rPr>
          <w:rFonts w:cs="Times New Roman"/>
          <w:color w:val="000000" w:themeColor="text1"/>
          <w:sz w:val="24"/>
          <w:szCs w:val="24"/>
        </w:rPr>
        <w:t xml:space="preserve"> </w:t>
      </w:r>
      <w:r w:rsidR="0097539D" w:rsidRPr="00846B0F">
        <w:rPr>
          <w:rFonts w:cs="Times New Roman"/>
          <w:color w:val="000000" w:themeColor="text1"/>
          <w:sz w:val="24"/>
          <w:szCs w:val="24"/>
        </w:rPr>
        <w:t>effectiveness and efficiency in monit</w:t>
      </w:r>
      <w:r w:rsidRPr="00846B0F">
        <w:rPr>
          <w:rFonts w:cs="Times New Roman"/>
          <w:color w:val="000000" w:themeColor="text1"/>
          <w:sz w:val="24"/>
          <w:szCs w:val="24"/>
        </w:rPr>
        <w:t>oring, evaluation and reporting and also to ensure adherence to UNDP programme management policies and procedures. A</w:t>
      </w:r>
      <w:r w:rsidR="0097539D" w:rsidRPr="00846B0F">
        <w:rPr>
          <w:rFonts w:cs="Times New Roman"/>
          <w:color w:val="000000" w:themeColor="text1"/>
          <w:sz w:val="24"/>
          <w:szCs w:val="24"/>
        </w:rPr>
        <w:t xml:space="preserve"> Technical Advisor </w:t>
      </w:r>
      <w:r w:rsidRPr="00846B0F">
        <w:rPr>
          <w:rFonts w:cs="Times New Roman"/>
          <w:color w:val="000000" w:themeColor="text1"/>
          <w:sz w:val="24"/>
          <w:szCs w:val="24"/>
        </w:rPr>
        <w:t xml:space="preserve">and a </w:t>
      </w:r>
      <w:r w:rsidRPr="00846B0F">
        <w:rPr>
          <w:rFonts w:cs="Times New Roman"/>
          <w:sz w:val="24"/>
          <w:szCs w:val="24"/>
        </w:rPr>
        <w:t>M</w:t>
      </w:r>
      <w:r w:rsidR="009F7264" w:rsidRPr="00846B0F">
        <w:rPr>
          <w:rFonts w:cs="Times New Roman"/>
          <w:sz w:val="24"/>
          <w:szCs w:val="24"/>
        </w:rPr>
        <w:t xml:space="preserve">onitoring and </w:t>
      </w:r>
      <w:r w:rsidRPr="00846B0F">
        <w:rPr>
          <w:rFonts w:cs="Times New Roman"/>
          <w:sz w:val="24"/>
          <w:szCs w:val="24"/>
        </w:rPr>
        <w:t>E</w:t>
      </w:r>
      <w:r w:rsidR="009F7264" w:rsidRPr="00846B0F">
        <w:rPr>
          <w:rFonts w:cs="Times New Roman"/>
          <w:sz w:val="24"/>
          <w:szCs w:val="24"/>
        </w:rPr>
        <w:t>valuation (</w:t>
      </w:r>
      <w:r w:rsidR="0097539D" w:rsidRPr="00846B0F">
        <w:rPr>
          <w:rFonts w:cs="Times New Roman"/>
          <w:color w:val="000000" w:themeColor="text1"/>
          <w:sz w:val="24"/>
          <w:szCs w:val="24"/>
        </w:rPr>
        <w:t>M&amp;E</w:t>
      </w:r>
      <w:r w:rsidR="009F7264" w:rsidRPr="00846B0F">
        <w:rPr>
          <w:rFonts w:cs="Times New Roman"/>
          <w:color w:val="000000" w:themeColor="text1"/>
          <w:sz w:val="24"/>
          <w:szCs w:val="24"/>
        </w:rPr>
        <w:t>)</w:t>
      </w:r>
      <w:r w:rsidR="00141CEB" w:rsidRPr="00846B0F">
        <w:rPr>
          <w:rFonts w:cs="Times New Roman"/>
          <w:color w:val="000000" w:themeColor="text1"/>
          <w:sz w:val="24"/>
          <w:szCs w:val="24"/>
        </w:rPr>
        <w:t xml:space="preserve"> </w:t>
      </w:r>
      <w:r w:rsidR="006220E6" w:rsidRPr="00846B0F">
        <w:rPr>
          <w:rFonts w:cs="Times New Roman"/>
          <w:color w:val="000000" w:themeColor="text1"/>
          <w:sz w:val="24"/>
          <w:szCs w:val="24"/>
        </w:rPr>
        <w:t>O</w:t>
      </w:r>
      <w:r w:rsidR="00141CEB" w:rsidRPr="00846B0F">
        <w:rPr>
          <w:rFonts w:cs="Times New Roman"/>
          <w:color w:val="000000" w:themeColor="text1"/>
          <w:sz w:val="24"/>
          <w:szCs w:val="24"/>
        </w:rPr>
        <w:t>fficer</w:t>
      </w:r>
      <w:r w:rsidRPr="00846B0F">
        <w:rPr>
          <w:rFonts w:cs="Times New Roman"/>
          <w:color w:val="000000" w:themeColor="text1"/>
          <w:sz w:val="24"/>
          <w:szCs w:val="24"/>
        </w:rPr>
        <w:t xml:space="preserve"> w</w:t>
      </w:r>
      <w:r w:rsidR="009B4CEE" w:rsidRPr="00846B0F">
        <w:rPr>
          <w:rFonts w:cs="Times New Roman"/>
          <w:color w:val="000000" w:themeColor="text1"/>
          <w:sz w:val="24"/>
          <w:szCs w:val="24"/>
        </w:rPr>
        <w:t>ere</w:t>
      </w:r>
      <w:r w:rsidRPr="00846B0F">
        <w:rPr>
          <w:rFonts w:cs="Times New Roman"/>
          <w:color w:val="000000" w:themeColor="text1"/>
          <w:sz w:val="24"/>
          <w:szCs w:val="24"/>
        </w:rPr>
        <w:t xml:space="preserve"> recruited to increase UNDP’s project management capacity</w:t>
      </w:r>
      <w:r w:rsidR="0097539D" w:rsidRPr="00846B0F">
        <w:rPr>
          <w:rFonts w:cs="Times New Roman"/>
          <w:color w:val="000000" w:themeColor="text1"/>
          <w:sz w:val="24"/>
          <w:szCs w:val="24"/>
        </w:rPr>
        <w:t xml:space="preserve">. </w:t>
      </w:r>
      <w:r w:rsidR="003D55D8">
        <w:rPr>
          <w:rFonts w:cs="Times New Roman"/>
          <w:color w:val="000000" w:themeColor="text1"/>
          <w:sz w:val="24"/>
          <w:szCs w:val="24"/>
        </w:rPr>
        <w:t>The Project Manager and Project Associate were also recruited during the period under review.</w:t>
      </w:r>
    </w:p>
    <w:p w14:paraId="1EFD9088" w14:textId="77777777" w:rsidR="002374DF" w:rsidRPr="00846B0F" w:rsidRDefault="002374DF" w:rsidP="002374DF">
      <w:pPr>
        <w:spacing w:after="0" w:line="276" w:lineRule="auto"/>
        <w:rPr>
          <w:rFonts w:cs="Times New Roman"/>
          <w:sz w:val="24"/>
          <w:szCs w:val="24"/>
        </w:rPr>
      </w:pPr>
    </w:p>
    <w:p w14:paraId="009E68C8" w14:textId="77777777" w:rsidR="00A83FF5" w:rsidRDefault="00C36141" w:rsidP="00AA4668">
      <w:pPr>
        <w:spacing w:after="0" w:line="276" w:lineRule="auto"/>
        <w:jc w:val="both"/>
        <w:rPr>
          <w:rFonts w:cs="Times New Roman"/>
          <w:color w:val="000000" w:themeColor="text1"/>
          <w:sz w:val="24"/>
          <w:szCs w:val="24"/>
        </w:rPr>
      </w:pPr>
      <w:r w:rsidRPr="00846B0F">
        <w:rPr>
          <w:rFonts w:cs="Times New Roman"/>
          <w:color w:val="000000" w:themeColor="text1"/>
          <w:sz w:val="24"/>
          <w:szCs w:val="24"/>
        </w:rPr>
        <w:t xml:space="preserve">As at </w:t>
      </w:r>
      <w:r w:rsidR="00846B0F" w:rsidRPr="00846B0F">
        <w:rPr>
          <w:rFonts w:cs="Times New Roman"/>
          <w:color w:val="000000" w:themeColor="text1"/>
          <w:sz w:val="24"/>
          <w:szCs w:val="24"/>
        </w:rPr>
        <w:t>24 March 2016</w:t>
      </w:r>
      <w:r w:rsidRPr="00846B0F">
        <w:rPr>
          <w:rFonts w:cs="Times New Roman"/>
          <w:color w:val="000000" w:themeColor="text1"/>
          <w:sz w:val="24"/>
          <w:szCs w:val="24"/>
        </w:rPr>
        <w:t xml:space="preserve">, </w:t>
      </w:r>
      <w:r w:rsidR="00197118" w:rsidRPr="00846B0F">
        <w:rPr>
          <w:rFonts w:cs="Times New Roman"/>
          <w:color w:val="000000" w:themeColor="text1"/>
          <w:sz w:val="24"/>
          <w:szCs w:val="24"/>
        </w:rPr>
        <w:t xml:space="preserve">the </w:t>
      </w:r>
      <w:r w:rsidR="0094496A" w:rsidRPr="00846B0F">
        <w:rPr>
          <w:rFonts w:cs="Times New Roman"/>
          <w:color w:val="000000" w:themeColor="text1"/>
          <w:sz w:val="24"/>
          <w:szCs w:val="24"/>
        </w:rPr>
        <w:t>project</w:t>
      </w:r>
      <w:r w:rsidR="00197118" w:rsidRPr="00846B0F">
        <w:rPr>
          <w:rFonts w:cs="Times New Roman"/>
          <w:color w:val="000000" w:themeColor="text1"/>
          <w:sz w:val="24"/>
          <w:szCs w:val="24"/>
        </w:rPr>
        <w:t xml:space="preserve"> had utilized USD </w:t>
      </w:r>
      <w:r w:rsidR="00846B0F" w:rsidRPr="00846B0F">
        <w:rPr>
          <w:rFonts w:cs="Times New Roman"/>
          <w:color w:val="000000" w:themeColor="text1"/>
          <w:sz w:val="24"/>
          <w:szCs w:val="24"/>
        </w:rPr>
        <w:t xml:space="preserve">1,104,496.97 </w:t>
      </w:r>
      <w:r w:rsidR="00197118" w:rsidRPr="00846B0F">
        <w:rPr>
          <w:rFonts w:cs="Times New Roman"/>
          <w:color w:val="000000" w:themeColor="text1"/>
          <w:sz w:val="24"/>
          <w:szCs w:val="24"/>
        </w:rPr>
        <w:t xml:space="preserve">equivalent to </w:t>
      </w:r>
      <w:r w:rsidR="00846B0F" w:rsidRPr="00846B0F">
        <w:rPr>
          <w:rFonts w:cs="Times New Roman"/>
          <w:color w:val="000000" w:themeColor="text1"/>
          <w:sz w:val="24"/>
          <w:szCs w:val="24"/>
        </w:rPr>
        <w:t>95 per</w:t>
      </w:r>
      <w:r w:rsidR="00197118" w:rsidRPr="00846B0F">
        <w:rPr>
          <w:rFonts w:cs="Times New Roman"/>
          <w:color w:val="000000" w:themeColor="text1"/>
          <w:sz w:val="24"/>
          <w:szCs w:val="24"/>
        </w:rPr>
        <w:t xml:space="preserve"> cent of the total </w:t>
      </w:r>
      <w:r w:rsidR="00846B0F" w:rsidRPr="00846B0F">
        <w:rPr>
          <w:rFonts w:cs="Times New Roman"/>
          <w:color w:val="000000" w:themeColor="text1"/>
          <w:sz w:val="24"/>
          <w:szCs w:val="24"/>
        </w:rPr>
        <w:t xml:space="preserve">received </w:t>
      </w:r>
      <w:r w:rsidR="00197118" w:rsidRPr="00846B0F">
        <w:rPr>
          <w:rFonts w:cs="Times New Roman"/>
          <w:color w:val="000000" w:themeColor="text1"/>
          <w:sz w:val="24"/>
          <w:szCs w:val="24"/>
        </w:rPr>
        <w:t>funds of USD</w:t>
      </w:r>
      <w:r w:rsidR="00846B0F" w:rsidRPr="00846B0F">
        <w:rPr>
          <w:rFonts w:cs="Times New Roman"/>
          <w:color w:val="000000" w:themeColor="text1"/>
          <w:sz w:val="24"/>
          <w:szCs w:val="24"/>
        </w:rPr>
        <w:t xml:space="preserve"> 1,165,802</w:t>
      </w:r>
      <w:r w:rsidR="00A83FF5">
        <w:rPr>
          <w:rFonts w:cs="Times New Roman"/>
          <w:color w:val="000000" w:themeColor="text1"/>
          <w:sz w:val="24"/>
          <w:szCs w:val="24"/>
        </w:rPr>
        <w:br w:type="page"/>
      </w:r>
    </w:p>
    <w:p w14:paraId="58267D0C" w14:textId="77777777" w:rsidR="00E711D6" w:rsidRPr="00846B0F" w:rsidRDefault="00E711D6" w:rsidP="00363730">
      <w:pPr>
        <w:pStyle w:val="Norway2"/>
        <w:spacing w:line="276" w:lineRule="auto"/>
        <w:ind w:hanging="720"/>
        <w:rPr>
          <w:rFonts w:cs="Times New Roman"/>
        </w:rPr>
      </w:pPr>
      <w:bookmarkStart w:id="5" w:name="_Toc414459839"/>
      <w:bookmarkStart w:id="6" w:name="_Toc447029778"/>
      <w:r w:rsidRPr="00846B0F">
        <w:rPr>
          <w:rFonts w:cs="Times New Roman"/>
        </w:rPr>
        <w:lastRenderedPageBreak/>
        <w:t>Introduction</w:t>
      </w:r>
      <w:bookmarkEnd w:id="5"/>
      <w:bookmarkEnd w:id="6"/>
      <w:r w:rsidRPr="00846B0F">
        <w:rPr>
          <w:rFonts w:cs="Times New Roman"/>
        </w:rPr>
        <w:t xml:space="preserve"> </w:t>
      </w:r>
    </w:p>
    <w:p w14:paraId="57981EA2" w14:textId="77777777" w:rsidR="0069585C" w:rsidRPr="00846B0F" w:rsidRDefault="0069585C" w:rsidP="00363730">
      <w:pPr>
        <w:spacing w:after="0" w:line="276" w:lineRule="auto"/>
        <w:rPr>
          <w:rFonts w:cs="Times New Roman"/>
          <w:sz w:val="24"/>
          <w:szCs w:val="24"/>
        </w:rPr>
      </w:pPr>
    </w:p>
    <w:p w14:paraId="01DC1A07" w14:textId="77777777" w:rsidR="00812622" w:rsidRPr="00846B0F" w:rsidRDefault="00812622" w:rsidP="00812622">
      <w:pPr>
        <w:spacing w:after="0" w:line="276" w:lineRule="auto"/>
        <w:jc w:val="both"/>
        <w:rPr>
          <w:rFonts w:cs="Times New Roman"/>
          <w:sz w:val="24"/>
          <w:szCs w:val="24"/>
        </w:rPr>
      </w:pPr>
      <w:r w:rsidRPr="00846B0F">
        <w:rPr>
          <w:rFonts w:cs="Times New Roman"/>
          <w:sz w:val="24"/>
          <w:szCs w:val="24"/>
        </w:rPr>
        <w:t>The Norwegian Ministry of Foreign Affairs (MFA) and United Nations Development Programme (UNDP) agreed to cooperate in the implementation of the Integrated Support Programme to the Devolution process in Kenya 2014-2018 under agreement number KEN-14/0003 signed in October 2014. The goal of the cooperation is to ensure that by 2017, Kenya enjoys a participatory devolution process that is well understood by stakeholders, adequately coordinated and equitably resourced for delivery of accessible and quality services</w:t>
      </w:r>
      <w:r w:rsidR="00E23FED" w:rsidRPr="00846B0F">
        <w:rPr>
          <w:rFonts w:cs="Times New Roman"/>
          <w:sz w:val="24"/>
          <w:szCs w:val="24"/>
        </w:rPr>
        <w:t>,</w:t>
      </w:r>
      <w:r w:rsidRPr="00846B0F">
        <w:rPr>
          <w:rFonts w:cs="Times New Roman"/>
          <w:sz w:val="24"/>
          <w:szCs w:val="24"/>
        </w:rPr>
        <w:t xml:space="preserve"> devolved institutions that are legally, financially and technically empowered, well managed, effective, and accountable and resource management that is transparent, equitable, effective and efficient at all levels. The MFA </w:t>
      </w:r>
      <w:r w:rsidR="005F2614" w:rsidRPr="00846B0F">
        <w:rPr>
          <w:rFonts w:cs="Times New Roman"/>
          <w:sz w:val="24"/>
          <w:szCs w:val="24"/>
        </w:rPr>
        <w:t xml:space="preserve">committed to </w:t>
      </w:r>
      <w:r w:rsidRPr="00846B0F">
        <w:rPr>
          <w:rFonts w:cs="Times New Roman"/>
          <w:sz w:val="24"/>
          <w:szCs w:val="24"/>
        </w:rPr>
        <w:t xml:space="preserve">contribute Norwegian Kroner (NOK) 10,500,000 to the UNDP </w:t>
      </w:r>
      <w:r w:rsidR="00D03CAA" w:rsidRPr="00846B0F">
        <w:rPr>
          <w:rFonts w:cs="Times New Roman"/>
          <w:sz w:val="24"/>
          <w:szCs w:val="24"/>
        </w:rPr>
        <w:t xml:space="preserve">managed </w:t>
      </w:r>
      <w:r w:rsidRPr="00846B0F">
        <w:rPr>
          <w:rFonts w:cs="Times New Roman"/>
          <w:sz w:val="24"/>
          <w:szCs w:val="24"/>
        </w:rPr>
        <w:t>basket</w:t>
      </w:r>
      <w:r w:rsidR="00D03CAA" w:rsidRPr="00846B0F">
        <w:rPr>
          <w:rFonts w:cs="Times New Roman"/>
          <w:sz w:val="24"/>
          <w:szCs w:val="24"/>
        </w:rPr>
        <w:t xml:space="preserve"> </w:t>
      </w:r>
      <w:r w:rsidR="0094496A" w:rsidRPr="00846B0F">
        <w:rPr>
          <w:rFonts w:cs="Times New Roman"/>
          <w:sz w:val="24"/>
          <w:szCs w:val="24"/>
        </w:rPr>
        <w:t>fund</w:t>
      </w:r>
      <w:r w:rsidRPr="00846B0F">
        <w:rPr>
          <w:rFonts w:cs="Times New Roman"/>
          <w:sz w:val="24"/>
          <w:szCs w:val="24"/>
        </w:rPr>
        <w:t xml:space="preserve">. Other contributors to the basket include USAID, DFID and SIDA. </w:t>
      </w:r>
      <w:r w:rsidR="00FE6B3F" w:rsidRPr="00846B0F">
        <w:rPr>
          <w:rFonts w:cs="Times New Roman"/>
          <w:sz w:val="24"/>
          <w:szCs w:val="24"/>
        </w:rPr>
        <w:t>The first disbursement of this contribution amounting to NOK 6,500,000 was made in December 2014. A second disbursement of NOK 2,</w:t>
      </w:r>
      <w:r w:rsidR="0094496A" w:rsidRPr="00846B0F">
        <w:rPr>
          <w:rFonts w:cs="Times New Roman"/>
          <w:sz w:val="24"/>
          <w:szCs w:val="24"/>
        </w:rPr>
        <w:t>5</w:t>
      </w:r>
      <w:r w:rsidR="00FE6B3F" w:rsidRPr="00846B0F">
        <w:rPr>
          <w:rFonts w:cs="Times New Roman"/>
          <w:sz w:val="24"/>
          <w:szCs w:val="24"/>
        </w:rPr>
        <w:t xml:space="preserve">00,000 was done in September </w:t>
      </w:r>
      <w:r w:rsidR="0094496A" w:rsidRPr="00846B0F">
        <w:rPr>
          <w:rFonts w:cs="Times New Roman"/>
          <w:sz w:val="24"/>
          <w:szCs w:val="24"/>
        </w:rPr>
        <w:t>2015</w:t>
      </w:r>
      <w:r w:rsidR="00FE6B3F" w:rsidRPr="00846B0F">
        <w:rPr>
          <w:rFonts w:cs="Times New Roman"/>
          <w:sz w:val="24"/>
          <w:szCs w:val="24"/>
        </w:rPr>
        <w:t xml:space="preserve">. </w:t>
      </w:r>
      <w:r w:rsidRPr="00846B0F">
        <w:rPr>
          <w:rFonts w:cs="Times New Roman"/>
          <w:sz w:val="24"/>
          <w:szCs w:val="24"/>
        </w:rPr>
        <w:t>The Norwegian contribution will cover the period 1 December 2014 to 31 March 2016.</w:t>
      </w:r>
    </w:p>
    <w:p w14:paraId="73DF249B" w14:textId="77777777" w:rsidR="00812622" w:rsidRPr="00846B0F" w:rsidRDefault="00812622" w:rsidP="00812622">
      <w:pPr>
        <w:spacing w:after="0" w:line="276" w:lineRule="auto"/>
        <w:jc w:val="both"/>
        <w:rPr>
          <w:rFonts w:cs="Times New Roman"/>
          <w:sz w:val="24"/>
          <w:szCs w:val="24"/>
        </w:rPr>
      </w:pPr>
    </w:p>
    <w:p w14:paraId="528C32A4" w14:textId="77777777" w:rsidR="00812622" w:rsidRPr="00846B0F" w:rsidRDefault="00812622" w:rsidP="00812622">
      <w:pPr>
        <w:spacing w:after="0" w:line="276" w:lineRule="auto"/>
        <w:jc w:val="both"/>
        <w:rPr>
          <w:rFonts w:cs="Times New Roman"/>
          <w:sz w:val="24"/>
          <w:szCs w:val="24"/>
        </w:rPr>
      </w:pPr>
      <w:r w:rsidRPr="00846B0F">
        <w:rPr>
          <w:rFonts w:cs="Times New Roman"/>
          <w:sz w:val="24"/>
          <w:szCs w:val="24"/>
        </w:rPr>
        <w:t>This support by the Government of Norway was a follow-up to the initial support to devolution in December 2013. This initial support was targeted to three short-term “quick win” devolution-related interventions that included</w:t>
      </w:r>
      <w:r w:rsidR="00E23FED" w:rsidRPr="00846B0F">
        <w:rPr>
          <w:rFonts w:cs="Times New Roman"/>
          <w:sz w:val="24"/>
          <w:szCs w:val="24"/>
        </w:rPr>
        <w:t>:</w:t>
      </w:r>
      <w:r w:rsidRPr="00846B0F">
        <w:rPr>
          <w:rFonts w:cs="Times New Roman"/>
          <w:sz w:val="24"/>
          <w:szCs w:val="24"/>
        </w:rPr>
        <w:t xml:space="preserve"> support to the devolution process; capacity on peace building and collaborative leadership; support to the CRA. Turkana, Kilifi and Kisumu counties were to be supported on planning, budgeting, and performance management. The support enabled UNDP to make immediate interventions to strengthen key institutions </w:t>
      </w:r>
      <w:r w:rsidRPr="00846B0F">
        <w:rPr>
          <w:rFonts w:cs="Times New Roman"/>
          <w:sz w:val="24"/>
          <w:szCs w:val="24"/>
        </w:rPr>
        <w:lastRenderedPageBreak/>
        <w:t>involved in managing the transition to devolved government</w:t>
      </w:r>
      <w:r w:rsidR="00D03CAA" w:rsidRPr="00846B0F">
        <w:rPr>
          <w:rFonts w:cs="Times New Roman"/>
          <w:sz w:val="24"/>
          <w:szCs w:val="24"/>
        </w:rPr>
        <w:t xml:space="preserve"> and to make the first ever direct support to </w:t>
      </w:r>
      <w:r w:rsidR="00DD2B11" w:rsidRPr="00846B0F">
        <w:rPr>
          <w:rFonts w:cs="Times New Roman"/>
          <w:sz w:val="24"/>
          <w:szCs w:val="24"/>
        </w:rPr>
        <w:t>c</w:t>
      </w:r>
      <w:r w:rsidR="00D03CAA" w:rsidRPr="00846B0F">
        <w:rPr>
          <w:rFonts w:cs="Times New Roman"/>
          <w:sz w:val="24"/>
          <w:szCs w:val="24"/>
        </w:rPr>
        <w:t xml:space="preserve">ounty </w:t>
      </w:r>
      <w:r w:rsidR="00DD2B11" w:rsidRPr="00846B0F">
        <w:rPr>
          <w:rFonts w:cs="Times New Roman"/>
          <w:sz w:val="24"/>
          <w:szCs w:val="24"/>
        </w:rPr>
        <w:t>g</w:t>
      </w:r>
      <w:r w:rsidR="00D03CAA" w:rsidRPr="00846B0F">
        <w:rPr>
          <w:rFonts w:cs="Times New Roman"/>
          <w:sz w:val="24"/>
          <w:szCs w:val="24"/>
        </w:rPr>
        <w:t xml:space="preserve">overnments. </w:t>
      </w:r>
      <w:r w:rsidRPr="00846B0F">
        <w:rPr>
          <w:rFonts w:cs="Times New Roman"/>
          <w:sz w:val="24"/>
          <w:szCs w:val="24"/>
        </w:rPr>
        <w:t xml:space="preserve"> </w:t>
      </w:r>
    </w:p>
    <w:p w14:paraId="677F905F" w14:textId="77777777" w:rsidR="00812622" w:rsidRPr="00846B0F" w:rsidRDefault="00812622" w:rsidP="00363730">
      <w:pPr>
        <w:spacing w:after="0" w:line="276" w:lineRule="auto"/>
        <w:jc w:val="both"/>
        <w:rPr>
          <w:rFonts w:cs="Times New Roman"/>
          <w:sz w:val="24"/>
          <w:szCs w:val="24"/>
        </w:rPr>
      </w:pPr>
    </w:p>
    <w:p w14:paraId="23D281B4" w14:textId="77777777" w:rsidR="006459CA" w:rsidRPr="00846B0F" w:rsidRDefault="00806D1F" w:rsidP="00363730">
      <w:pPr>
        <w:spacing w:after="0" w:line="276" w:lineRule="auto"/>
        <w:jc w:val="both"/>
        <w:rPr>
          <w:rFonts w:cs="Times New Roman"/>
          <w:sz w:val="24"/>
          <w:szCs w:val="24"/>
        </w:rPr>
      </w:pPr>
      <w:r w:rsidRPr="00846B0F">
        <w:rPr>
          <w:rFonts w:cs="Times New Roman"/>
          <w:sz w:val="24"/>
          <w:szCs w:val="24"/>
        </w:rPr>
        <w:t xml:space="preserve">The </w:t>
      </w:r>
      <w:r w:rsidR="00D03CAA" w:rsidRPr="00846B0F">
        <w:rPr>
          <w:rFonts w:cs="Times New Roman"/>
          <w:sz w:val="24"/>
          <w:szCs w:val="24"/>
        </w:rPr>
        <w:t>support</w:t>
      </w:r>
      <w:r w:rsidR="00387E23" w:rsidRPr="00846B0F">
        <w:rPr>
          <w:rFonts w:cs="Times New Roman"/>
          <w:sz w:val="24"/>
          <w:szCs w:val="24"/>
        </w:rPr>
        <w:t xml:space="preserve"> </w:t>
      </w:r>
      <w:r w:rsidR="00D95E4E" w:rsidRPr="00846B0F">
        <w:rPr>
          <w:rFonts w:cs="Times New Roman"/>
          <w:sz w:val="24"/>
          <w:szCs w:val="24"/>
        </w:rPr>
        <w:t xml:space="preserve">by </w:t>
      </w:r>
      <w:r w:rsidR="00D03CAA" w:rsidRPr="00846B0F">
        <w:rPr>
          <w:rFonts w:cs="Times New Roman"/>
          <w:sz w:val="24"/>
          <w:szCs w:val="24"/>
        </w:rPr>
        <w:t xml:space="preserve">the </w:t>
      </w:r>
      <w:r w:rsidR="00D95E4E" w:rsidRPr="00846B0F">
        <w:rPr>
          <w:rFonts w:cs="Times New Roman"/>
          <w:sz w:val="24"/>
          <w:szCs w:val="24"/>
        </w:rPr>
        <w:t xml:space="preserve">MFA </w:t>
      </w:r>
      <w:r w:rsidR="00D03CAA" w:rsidRPr="00846B0F">
        <w:rPr>
          <w:rFonts w:cs="Times New Roman"/>
          <w:sz w:val="24"/>
          <w:szCs w:val="24"/>
        </w:rPr>
        <w:t>is targeted</w:t>
      </w:r>
      <w:r w:rsidRPr="00846B0F">
        <w:rPr>
          <w:rFonts w:cs="Times New Roman"/>
          <w:sz w:val="24"/>
          <w:szCs w:val="24"/>
        </w:rPr>
        <w:t xml:space="preserve"> </w:t>
      </w:r>
      <w:r w:rsidR="00D03CAA" w:rsidRPr="00846B0F">
        <w:rPr>
          <w:rFonts w:cs="Times New Roman"/>
          <w:sz w:val="24"/>
          <w:szCs w:val="24"/>
        </w:rPr>
        <w:t xml:space="preserve">to </w:t>
      </w:r>
      <w:r w:rsidRPr="00846B0F">
        <w:rPr>
          <w:rFonts w:cs="Times New Roman"/>
          <w:sz w:val="24"/>
          <w:szCs w:val="24"/>
        </w:rPr>
        <w:t>th</w:t>
      </w:r>
      <w:r w:rsidR="004F7E1F" w:rsidRPr="00846B0F">
        <w:rPr>
          <w:rFonts w:cs="Times New Roman"/>
          <w:sz w:val="24"/>
          <w:szCs w:val="24"/>
        </w:rPr>
        <w:t>re</w:t>
      </w:r>
      <w:r w:rsidRPr="00846B0F">
        <w:rPr>
          <w:rFonts w:cs="Times New Roman"/>
          <w:sz w:val="24"/>
          <w:szCs w:val="24"/>
        </w:rPr>
        <w:t xml:space="preserve">e </w:t>
      </w:r>
      <w:r w:rsidR="004F7E1F" w:rsidRPr="00846B0F">
        <w:rPr>
          <w:rFonts w:cs="Times New Roman"/>
          <w:sz w:val="24"/>
          <w:szCs w:val="24"/>
        </w:rPr>
        <w:t xml:space="preserve">out of the five </w:t>
      </w:r>
      <w:r w:rsidR="00812622" w:rsidRPr="00846B0F">
        <w:rPr>
          <w:rFonts w:cs="Times New Roman"/>
          <w:sz w:val="24"/>
          <w:szCs w:val="24"/>
        </w:rPr>
        <w:t>outputs</w:t>
      </w:r>
      <w:r w:rsidR="001A3FA7" w:rsidRPr="00846B0F">
        <w:rPr>
          <w:rFonts w:cs="Times New Roman"/>
          <w:sz w:val="24"/>
          <w:szCs w:val="24"/>
        </w:rPr>
        <w:t xml:space="preserve"> </w:t>
      </w:r>
      <w:r w:rsidR="006459CA" w:rsidRPr="00846B0F">
        <w:rPr>
          <w:rFonts w:cs="Times New Roman"/>
          <w:sz w:val="24"/>
          <w:szCs w:val="24"/>
        </w:rPr>
        <w:t>contained in the project document</w:t>
      </w:r>
      <w:r w:rsidR="004F7E1F" w:rsidRPr="00846B0F">
        <w:rPr>
          <w:rFonts w:cs="Times New Roman"/>
          <w:sz w:val="24"/>
          <w:szCs w:val="24"/>
        </w:rPr>
        <w:t xml:space="preserve"> and </w:t>
      </w:r>
      <w:r w:rsidR="0094496A" w:rsidRPr="00846B0F">
        <w:rPr>
          <w:rFonts w:cs="Times New Roman"/>
          <w:sz w:val="24"/>
          <w:szCs w:val="24"/>
        </w:rPr>
        <w:t xml:space="preserve">also for </w:t>
      </w:r>
      <w:r w:rsidR="004F7E1F" w:rsidRPr="00846B0F">
        <w:rPr>
          <w:rFonts w:cs="Times New Roman"/>
          <w:sz w:val="24"/>
          <w:szCs w:val="24"/>
        </w:rPr>
        <w:t xml:space="preserve">effective and efficient </w:t>
      </w:r>
      <w:r w:rsidR="0094496A" w:rsidRPr="00846B0F">
        <w:rPr>
          <w:rFonts w:cs="Times New Roman"/>
          <w:sz w:val="24"/>
          <w:szCs w:val="24"/>
        </w:rPr>
        <w:t>management of the project</w:t>
      </w:r>
      <w:r w:rsidR="004F7E1F" w:rsidRPr="00846B0F">
        <w:rPr>
          <w:rFonts w:cs="Times New Roman"/>
          <w:sz w:val="24"/>
          <w:szCs w:val="24"/>
        </w:rPr>
        <w:t>. These outputs include</w:t>
      </w:r>
      <w:r w:rsidR="00846B0F">
        <w:rPr>
          <w:rFonts w:cs="Times New Roman"/>
          <w:sz w:val="24"/>
          <w:szCs w:val="24"/>
        </w:rPr>
        <w:t>:</w:t>
      </w:r>
    </w:p>
    <w:p w14:paraId="5DC68D29" w14:textId="77777777" w:rsidR="006459CA" w:rsidRPr="00846B0F" w:rsidRDefault="006459CA" w:rsidP="0075650A">
      <w:pPr>
        <w:pStyle w:val="ListParagraph"/>
        <w:numPr>
          <w:ilvl w:val="0"/>
          <w:numId w:val="5"/>
        </w:numPr>
        <w:spacing w:after="0" w:line="276" w:lineRule="auto"/>
        <w:jc w:val="both"/>
        <w:rPr>
          <w:rFonts w:cs="Times New Roman"/>
          <w:sz w:val="24"/>
          <w:szCs w:val="24"/>
        </w:rPr>
      </w:pPr>
      <w:r w:rsidRPr="00846B0F">
        <w:rPr>
          <w:rFonts w:cs="Times New Roman"/>
          <w:sz w:val="24"/>
          <w:szCs w:val="24"/>
        </w:rPr>
        <w:t>P</w:t>
      </w:r>
      <w:r w:rsidR="00812622" w:rsidRPr="00846B0F">
        <w:rPr>
          <w:rFonts w:cs="Times New Roman"/>
          <w:sz w:val="24"/>
          <w:szCs w:val="24"/>
        </w:rPr>
        <w:t xml:space="preserve">olicies, laws and institutional reforms for effective implementation of </w:t>
      </w:r>
      <w:r w:rsidR="00D03CAA" w:rsidRPr="00846B0F">
        <w:rPr>
          <w:rFonts w:cs="Times New Roman"/>
          <w:sz w:val="24"/>
          <w:szCs w:val="24"/>
        </w:rPr>
        <w:t>c</w:t>
      </w:r>
      <w:r w:rsidR="00812622" w:rsidRPr="00846B0F">
        <w:rPr>
          <w:rFonts w:cs="Times New Roman"/>
          <w:sz w:val="24"/>
          <w:szCs w:val="24"/>
        </w:rPr>
        <w:t xml:space="preserve">onstitution at national and county levels adopted; </w:t>
      </w:r>
    </w:p>
    <w:p w14:paraId="252255A2" w14:textId="77777777" w:rsidR="006459CA" w:rsidRPr="00846B0F" w:rsidRDefault="006459CA" w:rsidP="0075650A">
      <w:pPr>
        <w:pStyle w:val="ListParagraph"/>
        <w:numPr>
          <w:ilvl w:val="0"/>
          <w:numId w:val="5"/>
        </w:numPr>
        <w:spacing w:after="0" w:line="276" w:lineRule="auto"/>
        <w:jc w:val="both"/>
        <w:rPr>
          <w:rFonts w:cs="Times New Roman"/>
          <w:sz w:val="24"/>
          <w:szCs w:val="24"/>
        </w:rPr>
      </w:pPr>
      <w:r w:rsidRPr="00846B0F">
        <w:rPr>
          <w:rFonts w:cs="Times New Roman"/>
          <w:sz w:val="24"/>
          <w:szCs w:val="24"/>
        </w:rPr>
        <w:t>S</w:t>
      </w:r>
      <w:r w:rsidR="00812622" w:rsidRPr="00846B0F">
        <w:rPr>
          <w:rFonts w:cs="Times New Roman"/>
          <w:sz w:val="24"/>
          <w:szCs w:val="24"/>
        </w:rPr>
        <w:t xml:space="preserve">trengthened institutional and human capacities at national and county level; </w:t>
      </w:r>
    </w:p>
    <w:p w14:paraId="313BE55E" w14:textId="77777777" w:rsidR="006459CA" w:rsidRPr="00846B0F" w:rsidRDefault="006459CA" w:rsidP="0075650A">
      <w:pPr>
        <w:pStyle w:val="ListParagraph"/>
        <w:numPr>
          <w:ilvl w:val="0"/>
          <w:numId w:val="5"/>
        </w:numPr>
        <w:spacing w:after="0" w:line="276" w:lineRule="auto"/>
        <w:jc w:val="both"/>
        <w:rPr>
          <w:rFonts w:cs="Times New Roman"/>
          <w:sz w:val="24"/>
          <w:szCs w:val="24"/>
        </w:rPr>
      </w:pPr>
      <w:r w:rsidRPr="00846B0F">
        <w:rPr>
          <w:rFonts w:cs="Times New Roman"/>
          <w:sz w:val="24"/>
          <w:szCs w:val="24"/>
        </w:rPr>
        <w:t>E</w:t>
      </w:r>
      <w:r w:rsidR="00812622" w:rsidRPr="00846B0F">
        <w:rPr>
          <w:rFonts w:cs="Times New Roman"/>
          <w:sz w:val="24"/>
          <w:szCs w:val="24"/>
        </w:rPr>
        <w:t>vidence</w:t>
      </w:r>
      <w:r w:rsidR="00625FF0" w:rsidRPr="00846B0F">
        <w:rPr>
          <w:rFonts w:cs="Times New Roman"/>
          <w:sz w:val="24"/>
          <w:szCs w:val="24"/>
        </w:rPr>
        <w:t xml:space="preserve"> based</w:t>
      </w:r>
      <w:r w:rsidR="00812622" w:rsidRPr="00846B0F">
        <w:rPr>
          <w:rFonts w:cs="Times New Roman"/>
          <w:sz w:val="24"/>
          <w:szCs w:val="24"/>
        </w:rPr>
        <w:t xml:space="preserve"> planning, budgeting for improved service delivery at county level in tandem with reduced security threats and improved response to risk and disaster in selected counties</w:t>
      </w:r>
      <w:r w:rsidRPr="00846B0F">
        <w:rPr>
          <w:rFonts w:cs="Times New Roman"/>
          <w:sz w:val="24"/>
          <w:szCs w:val="24"/>
        </w:rPr>
        <w:t xml:space="preserve"> and</w:t>
      </w:r>
      <w:r w:rsidR="00812622" w:rsidRPr="00846B0F">
        <w:rPr>
          <w:rFonts w:cs="Times New Roman"/>
          <w:sz w:val="24"/>
          <w:szCs w:val="24"/>
        </w:rPr>
        <w:t>;</w:t>
      </w:r>
    </w:p>
    <w:p w14:paraId="61DB25DB" w14:textId="77777777" w:rsidR="006459CA" w:rsidRPr="00846B0F" w:rsidRDefault="006459CA" w:rsidP="0075650A">
      <w:pPr>
        <w:pStyle w:val="ListParagraph"/>
        <w:numPr>
          <w:ilvl w:val="0"/>
          <w:numId w:val="5"/>
        </w:numPr>
        <w:spacing w:after="0" w:line="276" w:lineRule="auto"/>
        <w:jc w:val="both"/>
        <w:rPr>
          <w:rFonts w:cs="Times New Roman"/>
          <w:sz w:val="24"/>
          <w:szCs w:val="24"/>
        </w:rPr>
      </w:pPr>
      <w:r w:rsidRPr="00846B0F">
        <w:rPr>
          <w:rFonts w:cs="Times New Roman"/>
          <w:sz w:val="24"/>
          <w:szCs w:val="24"/>
        </w:rPr>
        <w:t>Improved</w:t>
      </w:r>
      <w:r w:rsidR="00812622" w:rsidRPr="00846B0F">
        <w:rPr>
          <w:rFonts w:cs="Times New Roman"/>
          <w:sz w:val="24"/>
          <w:szCs w:val="24"/>
        </w:rPr>
        <w:t xml:space="preserve"> </w:t>
      </w:r>
      <w:r w:rsidR="00D03CAA" w:rsidRPr="00846B0F">
        <w:rPr>
          <w:rFonts w:cs="Times New Roman"/>
          <w:sz w:val="24"/>
          <w:szCs w:val="24"/>
        </w:rPr>
        <w:t>p</w:t>
      </w:r>
      <w:r w:rsidR="00812622" w:rsidRPr="00846B0F">
        <w:rPr>
          <w:rFonts w:cs="Times New Roman"/>
          <w:sz w:val="24"/>
          <w:szCs w:val="24"/>
        </w:rPr>
        <w:t xml:space="preserve">rogramme </w:t>
      </w:r>
      <w:r w:rsidR="00D03CAA" w:rsidRPr="00846B0F">
        <w:rPr>
          <w:rFonts w:cs="Times New Roman"/>
          <w:sz w:val="24"/>
          <w:szCs w:val="24"/>
        </w:rPr>
        <w:t>m</w:t>
      </w:r>
      <w:r w:rsidR="00812622" w:rsidRPr="00846B0F">
        <w:rPr>
          <w:rFonts w:cs="Times New Roman"/>
          <w:sz w:val="24"/>
          <w:szCs w:val="24"/>
        </w:rPr>
        <w:t xml:space="preserve">anagement </w:t>
      </w:r>
      <w:r w:rsidR="00D03CAA" w:rsidRPr="00846B0F">
        <w:rPr>
          <w:rFonts w:cs="Times New Roman"/>
          <w:sz w:val="24"/>
          <w:szCs w:val="24"/>
        </w:rPr>
        <w:t>s</w:t>
      </w:r>
      <w:r w:rsidR="00812622" w:rsidRPr="00846B0F">
        <w:rPr>
          <w:rFonts w:cs="Times New Roman"/>
          <w:sz w:val="24"/>
          <w:szCs w:val="24"/>
        </w:rPr>
        <w:t xml:space="preserve">upport to the devolution programme. </w:t>
      </w:r>
    </w:p>
    <w:p w14:paraId="2F48332D" w14:textId="77777777" w:rsidR="006459CA" w:rsidRPr="00846B0F" w:rsidRDefault="006459CA" w:rsidP="006459CA">
      <w:pPr>
        <w:spacing w:after="0" w:line="276" w:lineRule="auto"/>
        <w:jc w:val="both"/>
        <w:rPr>
          <w:rFonts w:cs="Times New Roman"/>
          <w:sz w:val="24"/>
          <w:szCs w:val="24"/>
        </w:rPr>
      </w:pPr>
    </w:p>
    <w:p w14:paraId="7FE01F68" w14:textId="77777777" w:rsidR="000A500B" w:rsidRPr="00846B0F" w:rsidRDefault="000A500B" w:rsidP="006459CA">
      <w:pPr>
        <w:spacing w:after="0" w:line="276" w:lineRule="auto"/>
        <w:jc w:val="both"/>
        <w:rPr>
          <w:rFonts w:cs="Times New Roman"/>
          <w:sz w:val="24"/>
          <w:szCs w:val="24"/>
        </w:rPr>
      </w:pPr>
      <w:r w:rsidRPr="00846B0F">
        <w:rPr>
          <w:rFonts w:cs="Times New Roman"/>
          <w:sz w:val="24"/>
          <w:szCs w:val="24"/>
        </w:rPr>
        <w:t>The priority actors identified under this cooperation include</w:t>
      </w:r>
      <w:r w:rsidR="00602401" w:rsidRPr="00846B0F">
        <w:rPr>
          <w:rFonts w:cs="Times New Roman"/>
          <w:sz w:val="24"/>
          <w:szCs w:val="24"/>
        </w:rPr>
        <w:t>:</w:t>
      </w:r>
      <w:r w:rsidRPr="00846B0F">
        <w:rPr>
          <w:rFonts w:cs="Times New Roman"/>
          <w:sz w:val="24"/>
          <w:szCs w:val="24"/>
        </w:rPr>
        <w:t xml:space="preserve"> the Commission on Revenue Allocation (CRA) responsible for </w:t>
      </w:r>
      <w:r w:rsidR="00D03CAA" w:rsidRPr="00846B0F">
        <w:rPr>
          <w:rFonts w:cs="Times New Roman"/>
          <w:sz w:val="24"/>
          <w:szCs w:val="24"/>
        </w:rPr>
        <w:t>recommending sharing of national revenues</w:t>
      </w:r>
      <w:r w:rsidRPr="00846B0F">
        <w:rPr>
          <w:rFonts w:cs="Times New Roman"/>
          <w:sz w:val="24"/>
          <w:szCs w:val="24"/>
        </w:rPr>
        <w:t xml:space="preserve"> to </w:t>
      </w:r>
      <w:r w:rsidR="00D03CAA" w:rsidRPr="00846B0F">
        <w:rPr>
          <w:rFonts w:cs="Times New Roman"/>
          <w:sz w:val="24"/>
          <w:szCs w:val="24"/>
        </w:rPr>
        <w:t>both levels of government and among c</w:t>
      </w:r>
      <w:r w:rsidRPr="00846B0F">
        <w:rPr>
          <w:rFonts w:cs="Times New Roman"/>
          <w:sz w:val="24"/>
          <w:szCs w:val="24"/>
        </w:rPr>
        <w:t xml:space="preserve">ounties; the Transition Authority (TA) facilitating </w:t>
      </w:r>
      <w:r w:rsidR="00D03CAA" w:rsidRPr="00846B0F">
        <w:rPr>
          <w:rFonts w:cs="Times New Roman"/>
          <w:sz w:val="24"/>
          <w:szCs w:val="24"/>
        </w:rPr>
        <w:t xml:space="preserve">transition to the </w:t>
      </w:r>
      <w:r w:rsidRPr="00846B0F">
        <w:rPr>
          <w:rFonts w:cs="Times New Roman"/>
          <w:sz w:val="24"/>
          <w:szCs w:val="24"/>
        </w:rPr>
        <w:t>devol</w:t>
      </w:r>
      <w:r w:rsidR="00D03CAA" w:rsidRPr="00846B0F">
        <w:rPr>
          <w:rFonts w:cs="Times New Roman"/>
          <w:sz w:val="24"/>
          <w:szCs w:val="24"/>
        </w:rPr>
        <w:t>ved system of governance</w:t>
      </w:r>
      <w:r w:rsidRPr="00846B0F">
        <w:rPr>
          <w:rFonts w:cs="Times New Roman"/>
          <w:sz w:val="24"/>
          <w:szCs w:val="24"/>
        </w:rPr>
        <w:t>; the Council of Governors (</w:t>
      </w:r>
      <w:proofErr w:type="spellStart"/>
      <w:r w:rsidR="00AF41A5" w:rsidRPr="00846B0F">
        <w:rPr>
          <w:rFonts w:cs="Times New Roman"/>
          <w:sz w:val="24"/>
          <w:szCs w:val="24"/>
        </w:rPr>
        <w:t>CoG</w:t>
      </w:r>
      <w:proofErr w:type="spellEnd"/>
      <w:r w:rsidRPr="00846B0F">
        <w:rPr>
          <w:rFonts w:cs="Times New Roman"/>
          <w:sz w:val="24"/>
          <w:szCs w:val="24"/>
        </w:rPr>
        <w:t xml:space="preserve">) and </w:t>
      </w:r>
      <w:r w:rsidR="00D03CAA" w:rsidRPr="00846B0F">
        <w:rPr>
          <w:rFonts w:cs="Times New Roman"/>
          <w:sz w:val="24"/>
          <w:szCs w:val="24"/>
        </w:rPr>
        <w:t xml:space="preserve">the </w:t>
      </w:r>
      <w:r w:rsidRPr="00846B0F">
        <w:rPr>
          <w:rFonts w:cs="Times New Roman"/>
          <w:sz w:val="24"/>
          <w:szCs w:val="24"/>
        </w:rPr>
        <w:t xml:space="preserve">Kenya School of Government (KSG). </w:t>
      </w:r>
    </w:p>
    <w:p w14:paraId="5421E5B8" w14:textId="77777777" w:rsidR="00806D1F" w:rsidRPr="00846B0F" w:rsidRDefault="00806D1F" w:rsidP="00363730">
      <w:pPr>
        <w:spacing w:after="0" w:line="276" w:lineRule="auto"/>
        <w:jc w:val="both"/>
        <w:rPr>
          <w:rFonts w:cs="Times New Roman"/>
          <w:sz w:val="24"/>
          <w:szCs w:val="24"/>
        </w:rPr>
      </w:pPr>
    </w:p>
    <w:p w14:paraId="3376B74F" w14:textId="77777777" w:rsidR="009F7264" w:rsidRPr="00846B0F" w:rsidRDefault="00621536" w:rsidP="000A3D77">
      <w:pPr>
        <w:spacing w:after="0" w:line="276" w:lineRule="auto"/>
        <w:jc w:val="both"/>
        <w:rPr>
          <w:rFonts w:cs="Times New Roman"/>
          <w:sz w:val="24"/>
          <w:szCs w:val="24"/>
        </w:rPr>
      </w:pPr>
      <w:r w:rsidRPr="00846B0F">
        <w:rPr>
          <w:rFonts w:cs="Times New Roman"/>
          <w:sz w:val="24"/>
          <w:szCs w:val="24"/>
        </w:rPr>
        <w:t xml:space="preserve">The </w:t>
      </w:r>
      <w:r w:rsidR="005C60C1" w:rsidRPr="00846B0F">
        <w:rPr>
          <w:rFonts w:cs="Times New Roman"/>
          <w:sz w:val="24"/>
          <w:szCs w:val="24"/>
        </w:rPr>
        <w:t>Government of Kenya (</w:t>
      </w:r>
      <w:proofErr w:type="spellStart"/>
      <w:r w:rsidR="00D95E4E" w:rsidRPr="00846B0F">
        <w:rPr>
          <w:rFonts w:cs="Times New Roman"/>
          <w:sz w:val="24"/>
          <w:szCs w:val="24"/>
        </w:rPr>
        <w:t>GoK</w:t>
      </w:r>
      <w:proofErr w:type="spellEnd"/>
      <w:r w:rsidR="005C60C1" w:rsidRPr="00846B0F">
        <w:rPr>
          <w:rFonts w:cs="Times New Roman"/>
          <w:sz w:val="24"/>
          <w:szCs w:val="24"/>
        </w:rPr>
        <w:t>)</w:t>
      </w:r>
      <w:r w:rsidRPr="00846B0F">
        <w:rPr>
          <w:rFonts w:cs="Times New Roman"/>
          <w:sz w:val="24"/>
          <w:szCs w:val="24"/>
        </w:rPr>
        <w:t xml:space="preserve"> and UNDP</w:t>
      </w:r>
      <w:r w:rsidR="00D95E4E" w:rsidRPr="00846B0F">
        <w:rPr>
          <w:rFonts w:cs="Times New Roman"/>
          <w:sz w:val="24"/>
          <w:szCs w:val="24"/>
        </w:rPr>
        <w:t xml:space="preserve"> continued to use the lessons learnt from the first phase of implementation of the MFA </w:t>
      </w:r>
      <w:r w:rsidR="00242285" w:rsidRPr="00846B0F">
        <w:rPr>
          <w:rFonts w:cs="Times New Roman"/>
          <w:sz w:val="24"/>
          <w:szCs w:val="24"/>
        </w:rPr>
        <w:t xml:space="preserve">supported project </w:t>
      </w:r>
      <w:r w:rsidR="00D95E4E" w:rsidRPr="00846B0F">
        <w:rPr>
          <w:rFonts w:cs="Times New Roman"/>
          <w:sz w:val="24"/>
          <w:szCs w:val="24"/>
        </w:rPr>
        <w:t xml:space="preserve">to realize </w:t>
      </w:r>
      <w:r w:rsidR="005C60C1" w:rsidRPr="00846B0F">
        <w:rPr>
          <w:rFonts w:cs="Times New Roman"/>
          <w:sz w:val="24"/>
          <w:szCs w:val="24"/>
        </w:rPr>
        <w:t>the results</w:t>
      </w:r>
      <w:r w:rsidR="00D95E4E" w:rsidRPr="00846B0F">
        <w:rPr>
          <w:rFonts w:cs="Times New Roman"/>
          <w:sz w:val="24"/>
          <w:szCs w:val="24"/>
        </w:rPr>
        <w:t xml:space="preserve"> envisaged in</w:t>
      </w:r>
      <w:r w:rsidR="005C60C1" w:rsidRPr="00846B0F">
        <w:rPr>
          <w:rFonts w:cs="Times New Roman"/>
          <w:sz w:val="24"/>
          <w:szCs w:val="24"/>
        </w:rPr>
        <w:t xml:space="preserve"> </w:t>
      </w:r>
      <w:r w:rsidR="000A3D77" w:rsidRPr="00846B0F">
        <w:rPr>
          <w:rFonts w:cs="Times New Roman"/>
          <w:sz w:val="24"/>
          <w:szCs w:val="24"/>
        </w:rPr>
        <w:t xml:space="preserve">the current </w:t>
      </w:r>
      <w:r w:rsidR="005C60C1" w:rsidRPr="00846B0F">
        <w:rPr>
          <w:rFonts w:cs="Times New Roman"/>
          <w:sz w:val="24"/>
          <w:szCs w:val="24"/>
        </w:rPr>
        <w:t>agreement.</w:t>
      </w:r>
      <w:r w:rsidR="00D95E4E" w:rsidRPr="00846B0F">
        <w:rPr>
          <w:rFonts w:cs="Times New Roman"/>
          <w:sz w:val="24"/>
          <w:szCs w:val="24"/>
        </w:rPr>
        <w:t xml:space="preserve"> </w:t>
      </w:r>
      <w:r w:rsidR="00D03CAA" w:rsidRPr="00846B0F">
        <w:rPr>
          <w:rFonts w:cs="Times New Roman"/>
          <w:sz w:val="24"/>
          <w:szCs w:val="24"/>
        </w:rPr>
        <w:t>It is evident that there is now an i</w:t>
      </w:r>
      <w:r w:rsidR="00D95E4E" w:rsidRPr="00846B0F">
        <w:rPr>
          <w:rFonts w:cs="Times New Roman"/>
          <w:sz w:val="24"/>
          <w:szCs w:val="24"/>
        </w:rPr>
        <w:t>ncreased synergy and coordination between the various institutions at both national and county levels</w:t>
      </w:r>
      <w:r w:rsidR="000A3D77" w:rsidRPr="00846B0F">
        <w:rPr>
          <w:rFonts w:cs="Times New Roman"/>
          <w:sz w:val="24"/>
          <w:szCs w:val="24"/>
        </w:rPr>
        <w:t>,</w:t>
      </w:r>
      <w:r w:rsidR="00D95E4E" w:rsidRPr="00846B0F">
        <w:rPr>
          <w:rFonts w:cs="Times New Roman"/>
          <w:sz w:val="24"/>
          <w:szCs w:val="24"/>
        </w:rPr>
        <w:t xml:space="preserve"> </w:t>
      </w:r>
      <w:r w:rsidR="009054DC" w:rsidRPr="00846B0F">
        <w:rPr>
          <w:rFonts w:cs="Times New Roman"/>
          <w:sz w:val="24"/>
          <w:szCs w:val="24"/>
        </w:rPr>
        <w:t xml:space="preserve">which </w:t>
      </w:r>
      <w:r w:rsidR="00D95E4E" w:rsidRPr="00846B0F">
        <w:rPr>
          <w:rFonts w:cs="Times New Roman"/>
          <w:sz w:val="24"/>
          <w:szCs w:val="24"/>
        </w:rPr>
        <w:t>is critical for successf</w:t>
      </w:r>
      <w:r w:rsidR="009054DC" w:rsidRPr="00846B0F">
        <w:rPr>
          <w:rFonts w:cs="Times New Roman"/>
          <w:sz w:val="24"/>
          <w:szCs w:val="24"/>
        </w:rPr>
        <w:t xml:space="preserve">ul implementation of </w:t>
      </w:r>
      <w:r w:rsidR="009054DC" w:rsidRPr="00846B0F">
        <w:rPr>
          <w:rFonts w:cs="Times New Roman"/>
          <w:sz w:val="24"/>
          <w:szCs w:val="24"/>
        </w:rPr>
        <w:lastRenderedPageBreak/>
        <w:t>devolution</w:t>
      </w:r>
      <w:r w:rsidR="00D03CAA" w:rsidRPr="00846B0F">
        <w:rPr>
          <w:rFonts w:cs="Times New Roman"/>
          <w:sz w:val="24"/>
          <w:szCs w:val="24"/>
        </w:rPr>
        <w:t xml:space="preserve"> that was </w:t>
      </w:r>
      <w:r w:rsidR="006157F9" w:rsidRPr="00846B0F">
        <w:rPr>
          <w:rFonts w:cs="Times New Roman"/>
          <w:sz w:val="24"/>
          <w:szCs w:val="24"/>
        </w:rPr>
        <w:t xml:space="preserve">not there </w:t>
      </w:r>
      <w:r w:rsidR="00D03CAA" w:rsidRPr="00846B0F">
        <w:rPr>
          <w:rFonts w:cs="Times New Roman"/>
          <w:sz w:val="24"/>
          <w:szCs w:val="24"/>
        </w:rPr>
        <w:t>previously. This</w:t>
      </w:r>
      <w:r w:rsidR="009054DC" w:rsidRPr="00846B0F">
        <w:rPr>
          <w:rFonts w:cs="Times New Roman"/>
          <w:sz w:val="24"/>
          <w:szCs w:val="24"/>
        </w:rPr>
        <w:t xml:space="preserve"> was showcased at the </w:t>
      </w:r>
      <w:r w:rsidR="009F7264" w:rsidRPr="00846B0F">
        <w:rPr>
          <w:rFonts w:cs="Times New Roman"/>
          <w:sz w:val="24"/>
          <w:szCs w:val="24"/>
        </w:rPr>
        <w:t xml:space="preserve">Second </w:t>
      </w:r>
      <w:r w:rsidR="009054DC" w:rsidRPr="00846B0F">
        <w:rPr>
          <w:rFonts w:cs="Times New Roman"/>
          <w:sz w:val="24"/>
          <w:szCs w:val="24"/>
        </w:rPr>
        <w:t>Annual</w:t>
      </w:r>
      <w:r w:rsidR="000C458A" w:rsidRPr="00846B0F">
        <w:rPr>
          <w:rFonts w:cs="Times New Roman"/>
          <w:sz w:val="24"/>
          <w:szCs w:val="24"/>
        </w:rPr>
        <w:t xml:space="preserve"> Devolution Conference which was organized by an interagency team including the </w:t>
      </w:r>
      <w:r w:rsidR="00172457">
        <w:rPr>
          <w:rFonts w:cs="Times New Roman"/>
          <w:sz w:val="24"/>
          <w:szCs w:val="24"/>
        </w:rPr>
        <w:t>n</w:t>
      </w:r>
      <w:r w:rsidR="000C458A" w:rsidRPr="00846B0F">
        <w:rPr>
          <w:rFonts w:cs="Times New Roman"/>
          <w:sz w:val="24"/>
          <w:szCs w:val="24"/>
        </w:rPr>
        <w:t xml:space="preserve">ational </w:t>
      </w:r>
      <w:r w:rsidR="00172457">
        <w:rPr>
          <w:rFonts w:cs="Times New Roman"/>
          <w:sz w:val="24"/>
          <w:szCs w:val="24"/>
        </w:rPr>
        <w:t>g</w:t>
      </w:r>
      <w:r w:rsidR="000C458A" w:rsidRPr="00846B0F">
        <w:rPr>
          <w:rFonts w:cs="Times New Roman"/>
          <w:sz w:val="24"/>
          <w:szCs w:val="24"/>
        </w:rPr>
        <w:t xml:space="preserve">overnment, the Senate and the </w:t>
      </w:r>
      <w:proofErr w:type="spellStart"/>
      <w:r w:rsidR="00E605D3" w:rsidRPr="00846B0F">
        <w:rPr>
          <w:rFonts w:cs="Times New Roman"/>
          <w:sz w:val="24"/>
          <w:szCs w:val="24"/>
        </w:rPr>
        <w:t>C</w:t>
      </w:r>
      <w:r w:rsidR="00172457">
        <w:rPr>
          <w:rFonts w:cs="Times New Roman"/>
          <w:sz w:val="24"/>
          <w:szCs w:val="24"/>
        </w:rPr>
        <w:t>o</w:t>
      </w:r>
      <w:r w:rsidR="00E605D3" w:rsidRPr="00846B0F">
        <w:rPr>
          <w:rFonts w:cs="Times New Roman"/>
          <w:sz w:val="24"/>
          <w:szCs w:val="24"/>
        </w:rPr>
        <w:t>G</w:t>
      </w:r>
      <w:proofErr w:type="spellEnd"/>
      <w:r w:rsidR="006157F9" w:rsidRPr="00846B0F">
        <w:rPr>
          <w:rFonts w:cs="Times New Roman"/>
          <w:sz w:val="24"/>
          <w:szCs w:val="24"/>
        </w:rPr>
        <w:t xml:space="preserve">. The joint signing of </w:t>
      </w:r>
      <w:r w:rsidR="00172457">
        <w:rPr>
          <w:rFonts w:cs="Times New Roman"/>
          <w:sz w:val="24"/>
          <w:szCs w:val="24"/>
        </w:rPr>
        <w:t>a</w:t>
      </w:r>
      <w:r w:rsidR="00AA4668">
        <w:rPr>
          <w:rFonts w:cs="Times New Roman"/>
          <w:sz w:val="24"/>
          <w:szCs w:val="24"/>
        </w:rPr>
        <w:t xml:space="preserve"> </w:t>
      </w:r>
      <w:r w:rsidR="006157F9" w:rsidRPr="00846B0F">
        <w:rPr>
          <w:rFonts w:cs="Times New Roman"/>
          <w:sz w:val="24"/>
          <w:szCs w:val="24"/>
        </w:rPr>
        <w:t xml:space="preserve">31 point communique between the </w:t>
      </w:r>
      <w:proofErr w:type="spellStart"/>
      <w:r w:rsidR="006157F9" w:rsidRPr="00846B0F">
        <w:rPr>
          <w:rFonts w:cs="Times New Roman"/>
          <w:sz w:val="24"/>
          <w:szCs w:val="24"/>
        </w:rPr>
        <w:t>CoG</w:t>
      </w:r>
      <w:proofErr w:type="spellEnd"/>
      <w:r w:rsidR="006157F9" w:rsidRPr="00846B0F">
        <w:rPr>
          <w:rFonts w:cs="Times New Roman"/>
          <w:sz w:val="24"/>
          <w:szCs w:val="24"/>
        </w:rPr>
        <w:t xml:space="preserve"> and the </w:t>
      </w:r>
      <w:r w:rsidR="00B539B1" w:rsidRPr="00846B0F">
        <w:rPr>
          <w:rFonts w:eastAsia="Batang" w:cs="Times New Roman"/>
          <w:sz w:val="24"/>
          <w:szCs w:val="24"/>
        </w:rPr>
        <w:t xml:space="preserve">Ministry of Devolution and Planning </w:t>
      </w:r>
      <w:r w:rsidR="00B539B1">
        <w:rPr>
          <w:rFonts w:eastAsia="Batang" w:cs="Times New Roman"/>
          <w:sz w:val="24"/>
          <w:szCs w:val="24"/>
        </w:rPr>
        <w:t>(</w:t>
      </w:r>
      <w:proofErr w:type="spellStart"/>
      <w:r w:rsidR="006157F9" w:rsidRPr="00846B0F">
        <w:rPr>
          <w:rFonts w:cs="Times New Roman"/>
          <w:sz w:val="24"/>
          <w:szCs w:val="24"/>
        </w:rPr>
        <w:t>MoDP</w:t>
      </w:r>
      <w:proofErr w:type="spellEnd"/>
      <w:r w:rsidR="00B539B1">
        <w:rPr>
          <w:rFonts w:cs="Times New Roman"/>
          <w:sz w:val="24"/>
          <w:szCs w:val="24"/>
        </w:rPr>
        <w:t>)</w:t>
      </w:r>
      <w:r w:rsidR="006157F9" w:rsidRPr="00846B0F">
        <w:rPr>
          <w:rFonts w:cs="Times New Roman"/>
          <w:sz w:val="24"/>
          <w:szCs w:val="24"/>
        </w:rPr>
        <w:t xml:space="preserve"> affirming the gains of devolution and the need to safe guard these gains </w:t>
      </w:r>
      <w:r w:rsidR="006904E5" w:rsidRPr="00846B0F">
        <w:rPr>
          <w:rFonts w:cs="Times New Roman"/>
          <w:sz w:val="24"/>
          <w:szCs w:val="24"/>
        </w:rPr>
        <w:t>hailed</w:t>
      </w:r>
      <w:r w:rsidR="006157F9" w:rsidRPr="00846B0F">
        <w:rPr>
          <w:rFonts w:cs="Times New Roman"/>
          <w:sz w:val="24"/>
          <w:szCs w:val="24"/>
        </w:rPr>
        <w:t xml:space="preserve"> this collaboration. Also</w:t>
      </w:r>
      <w:r w:rsidR="00242285" w:rsidRPr="00846B0F">
        <w:rPr>
          <w:rFonts w:cs="Times New Roman"/>
          <w:sz w:val="24"/>
          <w:szCs w:val="24"/>
        </w:rPr>
        <w:t>,</w:t>
      </w:r>
      <w:r w:rsidR="006157F9" w:rsidRPr="00846B0F">
        <w:rPr>
          <w:rFonts w:cs="Times New Roman"/>
          <w:sz w:val="24"/>
          <w:szCs w:val="24"/>
        </w:rPr>
        <w:t xml:space="preserve"> t</w:t>
      </w:r>
      <w:r w:rsidR="000C458A" w:rsidRPr="00846B0F">
        <w:rPr>
          <w:rFonts w:cs="Times New Roman"/>
          <w:sz w:val="24"/>
          <w:szCs w:val="24"/>
        </w:rPr>
        <w:t>he</w:t>
      </w:r>
      <w:r w:rsidR="009054DC" w:rsidRPr="00846B0F">
        <w:rPr>
          <w:rFonts w:cs="Times New Roman"/>
          <w:sz w:val="24"/>
          <w:szCs w:val="24"/>
        </w:rPr>
        <w:t xml:space="preserve"> development of the five curricula modules to support the NCBF</w:t>
      </w:r>
      <w:r w:rsidR="000C458A" w:rsidRPr="00846B0F">
        <w:rPr>
          <w:rFonts w:cs="Times New Roman"/>
          <w:sz w:val="24"/>
          <w:szCs w:val="24"/>
        </w:rPr>
        <w:t xml:space="preserve"> </w:t>
      </w:r>
      <w:r w:rsidR="006157F9" w:rsidRPr="00846B0F">
        <w:rPr>
          <w:rFonts w:cs="Times New Roman"/>
          <w:sz w:val="24"/>
          <w:szCs w:val="24"/>
        </w:rPr>
        <w:t>between the</w:t>
      </w:r>
      <w:r w:rsidR="000C458A" w:rsidRPr="00846B0F">
        <w:rPr>
          <w:rFonts w:cs="Times New Roman"/>
          <w:sz w:val="24"/>
          <w:szCs w:val="24"/>
        </w:rPr>
        <w:t xml:space="preserve"> technical officers from the </w:t>
      </w:r>
      <w:proofErr w:type="spellStart"/>
      <w:r w:rsidR="006157F9" w:rsidRPr="00846B0F">
        <w:rPr>
          <w:rFonts w:cs="Times New Roman"/>
          <w:sz w:val="24"/>
          <w:szCs w:val="24"/>
        </w:rPr>
        <w:t>MoDP</w:t>
      </w:r>
      <w:proofErr w:type="spellEnd"/>
      <w:r w:rsidR="006157F9" w:rsidRPr="00846B0F">
        <w:rPr>
          <w:rFonts w:cs="Times New Roman"/>
          <w:sz w:val="24"/>
          <w:szCs w:val="24"/>
        </w:rPr>
        <w:t xml:space="preserve">, the </w:t>
      </w:r>
      <w:proofErr w:type="spellStart"/>
      <w:r w:rsidR="006157F9" w:rsidRPr="00846B0F">
        <w:rPr>
          <w:rFonts w:cs="Times New Roman"/>
          <w:sz w:val="24"/>
          <w:szCs w:val="24"/>
        </w:rPr>
        <w:t>CoG</w:t>
      </w:r>
      <w:proofErr w:type="spellEnd"/>
      <w:r w:rsidR="006157F9" w:rsidRPr="00846B0F">
        <w:rPr>
          <w:rFonts w:cs="Times New Roman"/>
          <w:sz w:val="24"/>
          <w:szCs w:val="24"/>
        </w:rPr>
        <w:t xml:space="preserve"> </w:t>
      </w:r>
      <w:r w:rsidR="000C458A" w:rsidRPr="00846B0F">
        <w:rPr>
          <w:rFonts w:cs="Times New Roman"/>
          <w:sz w:val="24"/>
          <w:szCs w:val="24"/>
        </w:rPr>
        <w:t>and KSG</w:t>
      </w:r>
      <w:r w:rsidR="006157F9" w:rsidRPr="00846B0F">
        <w:rPr>
          <w:rFonts w:cs="Times New Roman"/>
          <w:sz w:val="24"/>
          <w:szCs w:val="24"/>
        </w:rPr>
        <w:t xml:space="preserve"> was a clear manifestation of the strong collaboration between the national and county governments</w:t>
      </w:r>
      <w:r w:rsidR="009E3C59">
        <w:rPr>
          <w:rFonts w:cs="Times New Roman"/>
          <w:sz w:val="24"/>
          <w:szCs w:val="24"/>
        </w:rPr>
        <w:t xml:space="preserve">. </w:t>
      </w:r>
      <w:r w:rsidR="0075753D">
        <w:rPr>
          <w:rFonts w:cs="Times New Roman"/>
          <w:sz w:val="24"/>
          <w:szCs w:val="24"/>
        </w:rPr>
        <w:t xml:space="preserve">It is also important to note that </w:t>
      </w:r>
      <w:proofErr w:type="spellStart"/>
      <w:r w:rsidR="0075753D">
        <w:rPr>
          <w:rFonts w:cs="Times New Roman"/>
          <w:sz w:val="24"/>
          <w:szCs w:val="24"/>
        </w:rPr>
        <w:t>CoG</w:t>
      </w:r>
      <w:proofErr w:type="spellEnd"/>
      <w:r w:rsidR="0075753D">
        <w:rPr>
          <w:rFonts w:cs="Times New Roman"/>
          <w:sz w:val="24"/>
          <w:szCs w:val="24"/>
        </w:rPr>
        <w:t xml:space="preserve"> was accepted to co-chair the Devolution Sector Working Group (DSWG)</w:t>
      </w:r>
      <w:r w:rsidR="006157F9" w:rsidRPr="00846B0F">
        <w:rPr>
          <w:rFonts w:cs="Times New Roman"/>
          <w:sz w:val="24"/>
          <w:szCs w:val="24"/>
        </w:rPr>
        <w:t>.</w:t>
      </w:r>
      <w:r w:rsidR="000C458A" w:rsidRPr="00846B0F">
        <w:rPr>
          <w:rFonts w:cs="Times New Roman"/>
          <w:sz w:val="24"/>
          <w:szCs w:val="24"/>
        </w:rPr>
        <w:t xml:space="preserve"> The</w:t>
      </w:r>
      <w:r w:rsidR="009054DC" w:rsidRPr="00846B0F">
        <w:rPr>
          <w:rFonts w:cs="Times New Roman"/>
          <w:sz w:val="24"/>
          <w:szCs w:val="24"/>
        </w:rPr>
        <w:t xml:space="preserve"> costing of government functions</w:t>
      </w:r>
      <w:r w:rsidR="000C458A" w:rsidRPr="00846B0F">
        <w:rPr>
          <w:rFonts w:cs="Times New Roman"/>
          <w:sz w:val="24"/>
          <w:szCs w:val="24"/>
        </w:rPr>
        <w:t xml:space="preserve"> </w:t>
      </w:r>
      <w:r w:rsidR="006157F9" w:rsidRPr="00846B0F">
        <w:rPr>
          <w:rFonts w:cs="Times New Roman"/>
          <w:sz w:val="24"/>
          <w:szCs w:val="24"/>
        </w:rPr>
        <w:t>was</w:t>
      </w:r>
      <w:r w:rsidR="000C458A" w:rsidRPr="00846B0F">
        <w:rPr>
          <w:rFonts w:cs="Times New Roman"/>
          <w:sz w:val="24"/>
          <w:szCs w:val="24"/>
        </w:rPr>
        <w:t xml:space="preserve"> jointly coordinated by the CRA and TA</w:t>
      </w:r>
      <w:r w:rsidR="00E605D3" w:rsidRPr="00846B0F">
        <w:rPr>
          <w:rFonts w:cs="Times New Roman"/>
          <w:sz w:val="24"/>
          <w:szCs w:val="24"/>
        </w:rPr>
        <w:t xml:space="preserve"> and</w:t>
      </w:r>
      <w:r w:rsidR="00896996" w:rsidRPr="00846B0F">
        <w:rPr>
          <w:rFonts w:cs="Times New Roman"/>
          <w:sz w:val="24"/>
          <w:szCs w:val="24"/>
        </w:rPr>
        <w:t xml:space="preserve"> being</w:t>
      </w:r>
      <w:r w:rsidR="00E605D3" w:rsidRPr="00846B0F">
        <w:rPr>
          <w:rFonts w:cs="Times New Roman"/>
          <w:sz w:val="24"/>
          <w:szCs w:val="24"/>
        </w:rPr>
        <w:t xml:space="preserve"> implemented by the national and county government</w:t>
      </w:r>
      <w:r w:rsidR="00665ECD" w:rsidRPr="00846B0F">
        <w:rPr>
          <w:rFonts w:cs="Times New Roman"/>
          <w:sz w:val="24"/>
          <w:szCs w:val="24"/>
        </w:rPr>
        <w:t>.</w:t>
      </w:r>
    </w:p>
    <w:p w14:paraId="6C632804" w14:textId="77777777" w:rsidR="009F7264" w:rsidRPr="00846B0F" w:rsidRDefault="009F7264" w:rsidP="000A3D77">
      <w:pPr>
        <w:spacing w:after="0" w:line="276" w:lineRule="auto"/>
        <w:jc w:val="both"/>
        <w:rPr>
          <w:rFonts w:cs="Times New Roman"/>
          <w:sz w:val="24"/>
          <w:szCs w:val="24"/>
        </w:rPr>
      </w:pPr>
    </w:p>
    <w:p w14:paraId="330304E2" w14:textId="77777777" w:rsidR="00D95E4E" w:rsidRPr="00846B0F" w:rsidRDefault="009054DC" w:rsidP="000A3D77">
      <w:pPr>
        <w:spacing w:after="0" w:line="276" w:lineRule="auto"/>
        <w:jc w:val="both"/>
        <w:rPr>
          <w:rFonts w:cs="Times New Roman"/>
          <w:sz w:val="24"/>
          <w:szCs w:val="24"/>
        </w:rPr>
      </w:pPr>
      <w:r w:rsidRPr="00846B0F">
        <w:rPr>
          <w:rFonts w:cs="Times New Roman"/>
          <w:sz w:val="24"/>
          <w:szCs w:val="24"/>
        </w:rPr>
        <w:t xml:space="preserve">The programme </w:t>
      </w:r>
      <w:r w:rsidR="005A3F10" w:rsidRPr="00846B0F">
        <w:rPr>
          <w:rFonts w:cs="Times New Roman"/>
          <w:sz w:val="24"/>
          <w:szCs w:val="24"/>
        </w:rPr>
        <w:t xml:space="preserve">also </w:t>
      </w:r>
      <w:r w:rsidRPr="00846B0F">
        <w:rPr>
          <w:rFonts w:cs="Times New Roman"/>
          <w:sz w:val="24"/>
          <w:szCs w:val="24"/>
        </w:rPr>
        <w:t xml:space="preserve">continued to support capacity development </w:t>
      </w:r>
      <w:r w:rsidR="005A3F10" w:rsidRPr="00846B0F">
        <w:rPr>
          <w:rFonts w:cs="Times New Roman"/>
          <w:sz w:val="24"/>
          <w:szCs w:val="24"/>
        </w:rPr>
        <w:t xml:space="preserve">at </w:t>
      </w:r>
      <w:r w:rsidR="00461D77">
        <w:rPr>
          <w:rFonts w:cs="Times New Roman"/>
          <w:sz w:val="24"/>
          <w:szCs w:val="24"/>
        </w:rPr>
        <w:t xml:space="preserve">the </w:t>
      </w:r>
      <w:r w:rsidR="005A3F10" w:rsidRPr="00846B0F">
        <w:rPr>
          <w:rFonts w:cs="Times New Roman"/>
          <w:sz w:val="24"/>
          <w:szCs w:val="24"/>
        </w:rPr>
        <w:t xml:space="preserve">institutional level </w:t>
      </w:r>
      <w:r w:rsidR="00D95E4E" w:rsidRPr="00846B0F">
        <w:rPr>
          <w:rFonts w:cs="Times New Roman"/>
          <w:sz w:val="24"/>
          <w:szCs w:val="24"/>
        </w:rPr>
        <w:t xml:space="preserve">to transform the challenges </w:t>
      </w:r>
      <w:r w:rsidRPr="00846B0F">
        <w:rPr>
          <w:rFonts w:cs="Times New Roman"/>
          <w:sz w:val="24"/>
          <w:szCs w:val="24"/>
        </w:rPr>
        <w:t>identified in the first phase into opportunities</w:t>
      </w:r>
      <w:r w:rsidR="00D95E4E" w:rsidRPr="00846B0F">
        <w:rPr>
          <w:rFonts w:cs="Times New Roman"/>
          <w:sz w:val="24"/>
          <w:szCs w:val="24"/>
        </w:rPr>
        <w:t xml:space="preserve"> for accelerated and inclusive development.</w:t>
      </w:r>
      <w:r w:rsidRPr="00846B0F">
        <w:rPr>
          <w:rFonts w:cs="Times New Roman"/>
          <w:sz w:val="24"/>
          <w:szCs w:val="24"/>
        </w:rPr>
        <w:t xml:space="preserve"> Stakeholder engagement between the various players in the devolution </w:t>
      </w:r>
      <w:r w:rsidR="000A3D77" w:rsidRPr="00846B0F">
        <w:rPr>
          <w:rFonts w:cs="Times New Roman"/>
          <w:sz w:val="24"/>
          <w:szCs w:val="24"/>
        </w:rPr>
        <w:t xml:space="preserve">process continued in each cycle of project management. The </w:t>
      </w:r>
      <w:r w:rsidR="00862CCF" w:rsidRPr="00846B0F">
        <w:rPr>
          <w:rFonts w:cs="Times New Roman"/>
          <w:sz w:val="24"/>
          <w:szCs w:val="24"/>
        </w:rPr>
        <w:t xml:space="preserve">lessons learnt from the initial county level support </w:t>
      </w:r>
      <w:r w:rsidR="00631B6B" w:rsidRPr="00846B0F">
        <w:rPr>
          <w:rFonts w:cs="Times New Roman"/>
          <w:sz w:val="24"/>
          <w:szCs w:val="24"/>
        </w:rPr>
        <w:t xml:space="preserve">through the Government of Norway’s contribution </w:t>
      </w:r>
      <w:r w:rsidR="00862CCF" w:rsidRPr="00846B0F">
        <w:rPr>
          <w:rFonts w:cs="Times New Roman"/>
          <w:sz w:val="24"/>
          <w:szCs w:val="24"/>
        </w:rPr>
        <w:t>ha</w:t>
      </w:r>
      <w:r w:rsidR="006C4B21" w:rsidRPr="00846B0F">
        <w:rPr>
          <w:rFonts w:cs="Times New Roman"/>
          <w:sz w:val="24"/>
          <w:szCs w:val="24"/>
        </w:rPr>
        <w:t>ve</w:t>
      </w:r>
      <w:r w:rsidR="00862CCF" w:rsidRPr="00846B0F">
        <w:rPr>
          <w:rFonts w:cs="Times New Roman"/>
          <w:sz w:val="24"/>
          <w:szCs w:val="24"/>
        </w:rPr>
        <w:t xml:space="preserve"> continued to inform UNDP’s engagement with </w:t>
      </w:r>
      <w:r w:rsidR="00DD2B11" w:rsidRPr="00846B0F">
        <w:rPr>
          <w:rFonts w:cs="Times New Roman"/>
          <w:sz w:val="24"/>
          <w:szCs w:val="24"/>
        </w:rPr>
        <w:t>c</w:t>
      </w:r>
      <w:r w:rsidR="00862CCF" w:rsidRPr="00846B0F">
        <w:rPr>
          <w:rFonts w:cs="Times New Roman"/>
          <w:sz w:val="24"/>
          <w:szCs w:val="24"/>
        </w:rPr>
        <w:t xml:space="preserve">ounty </w:t>
      </w:r>
      <w:r w:rsidR="00DD2B11" w:rsidRPr="00846B0F">
        <w:rPr>
          <w:rFonts w:cs="Times New Roman"/>
          <w:sz w:val="24"/>
          <w:szCs w:val="24"/>
        </w:rPr>
        <w:t>g</w:t>
      </w:r>
      <w:r w:rsidR="00862CCF" w:rsidRPr="00846B0F">
        <w:rPr>
          <w:rFonts w:cs="Times New Roman"/>
          <w:sz w:val="24"/>
          <w:szCs w:val="24"/>
        </w:rPr>
        <w:t>overnments</w:t>
      </w:r>
      <w:r w:rsidR="0075753D">
        <w:rPr>
          <w:rFonts w:cs="Times New Roman"/>
          <w:sz w:val="24"/>
          <w:szCs w:val="24"/>
        </w:rPr>
        <w:t>.</w:t>
      </w:r>
      <w:r w:rsidR="00074395">
        <w:rPr>
          <w:rFonts w:cs="Times New Roman"/>
          <w:sz w:val="24"/>
          <w:szCs w:val="24"/>
        </w:rPr>
        <w:t xml:space="preserve"> For example, an important lesson learnt was that counties have extremely weak capacities in M&amp;E. Therefore, UNDP has provided technical support for M&amp;E through UNVs.</w:t>
      </w:r>
      <w:r w:rsidR="0075753D">
        <w:rPr>
          <w:rFonts w:cs="Times New Roman"/>
          <w:sz w:val="24"/>
          <w:szCs w:val="24"/>
        </w:rPr>
        <w:t xml:space="preserve"> </w:t>
      </w:r>
    </w:p>
    <w:p w14:paraId="15DF2D71" w14:textId="77777777" w:rsidR="00D95E4E" w:rsidRPr="00846B0F" w:rsidRDefault="00D95E4E" w:rsidP="00363730">
      <w:pPr>
        <w:spacing w:after="0" w:line="276" w:lineRule="auto"/>
        <w:jc w:val="both"/>
        <w:rPr>
          <w:rFonts w:cs="Times New Roman"/>
          <w:sz w:val="24"/>
          <w:szCs w:val="24"/>
        </w:rPr>
      </w:pPr>
    </w:p>
    <w:p w14:paraId="2DDF0BA3" w14:textId="77777777" w:rsidR="005A3F10" w:rsidRPr="00846B0F" w:rsidRDefault="001C3235" w:rsidP="00363730">
      <w:pPr>
        <w:spacing w:after="0" w:line="276" w:lineRule="auto"/>
        <w:jc w:val="both"/>
        <w:rPr>
          <w:rFonts w:cs="Times New Roman"/>
          <w:sz w:val="24"/>
          <w:szCs w:val="24"/>
        </w:rPr>
      </w:pPr>
      <w:r w:rsidRPr="00846B0F">
        <w:rPr>
          <w:rFonts w:cs="Times New Roman"/>
          <w:sz w:val="24"/>
          <w:szCs w:val="24"/>
        </w:rPr>
        <w:t xml:space="preserve">UNDP </w:t>
      </w:r>
      <w:r w:rsidR="009A7387" w:rsidRPr="00846B0F">
        <w:rPr>
          <w:rFonts w:cs="Times New Roman"/>
          <w:sz w:val="24"/>
          <w:szCs w:val="24"/>
        </w:rPr>
        <w:t xml:space="preserve">utilized </w:t>
      </w:r>
      <w:r w:rsidR="00461D77">
        <w:rPr>
          <w:rFonts w:cs="Times New Roman"/>
          <w:sz w:val="24"/>
          <w:szCs w:val="24"/>
        </w:rPr>
        <w:t>Norwegian</w:t>
      </w:r>
      <w:r w:rsidR="00461D77" w:rsidRPr="00846B0F">
        <w:rPr>
          <w:rFonts w:cs="Times New Roman"/>
          <w:sz w:val="24"/>
          <w:szCs w:val="24"/>
        </w:rPr>
        <w:t xml:space="preserve"> </w:t>
      </w:r>
      <w:r w:rsidR="009A7387" w:rsidRPr="00846B0F">
        <w:rPr>
          <w:rFonts w:cs="Times New Roman"/>
          <w:sz w:val="24"/>
          <w:szCs w:val="24"/>
        </w:rPr>
        <w:t xml:space="preserve">support </w:t>
      </w:r>
      <w:r w:rsidRPr="00846B0F">
        <w:rPr>
          <w:rFonts w:cs="Times New Roman"/>
          <w:sz w:val="24"/>
          <w:szCs w:val="24"/>
        </w:rPr>
        <w:t xml:space="preserve">to </w:t>
      </w:r>
      <w:r w:rsidR="00077326" w:rsidRPr="00846B0F">
        <w:rPr>
          <w:rFonts w:cs="Times New Roman"/>
          <w:sz w:val="24"/>
          <w:szCs w:val="24"/>
        </w:rPr>
        <w:t xml:space="preserve">continue </w:t>
      </w:r>
      <w:r w:rsidRPr="00846B0F">
        <w:rPr>
          <w:rFonts w:cs="Times New Roman"/>
          <w:sz w:val="24"/>
          <w:szCs w:val="24"/>
        </w:rPr>
        <w:t>play</w:t>
      </w:r>
      <w:r w:rsidR="00077326" w:rsidRPr="00846B0F">
        <w:rPr>
          <w:rFonts w:cs="Times New Roman"/>
          <w:sz w:val="24"/>
          <w:szCs w:val="24"/>
        </w:rPr>
        <w:t>ing</w:t>
      </w:r>
      <w:r w:rsidRPr="00846B0F">
        <w:rPr>
          <w:rFonts w:cs="Times New Roman"/>
          <w:sz w:val="24"/>
          <w:szCs w:val="24"/>
        </w:rPr>
        <w:t xml:space="preserve"> a strategic role in supporting devolution implementation by strengthening national and county gov</w:t>
      </w:r>
      <w:r w:rsidRPr="00846B0F">
        <w:rPr>
          <w:rFonts w:cs="Times New Roman"/>
          <w:sz w:val="24"/>
          <w:szCs w:val="24"/>
        </w:rPr>
        <w:lastRenderedPageBreak/>
        <w:t>ernments to ensure that particular key institutions have the appropriate regulatory frameworks and capacities required to deliver responsive, accessible, participatory</w:t>
      </w:r>
      <w:r w:rsidR="0081711D">
        <w:rPr>
          <w:rFonts w:cs="Times New Roman"/>
          <w:sz w:val="24"/>
          <w:szCs w:val="24"/>
        </w:rPr>
        <w:t xml:space="preserve"> and</w:t>
      </w:r>
      <w:r w:rsidRPr="00846B0F">
        <w:rPr>
          <w:rFonts w:cs="Times New Roman"/>
          <w:sz w:val="24"/>
          <w:szCs w:val="24"/>
        </w:rPr>
        <w:t>, equitable service delivery</w:t>
      </w:r>
      <w:r w:rsidR="0081711D">
        <w:rPr>
          <w:rFonts w:cs="Times New Roman"/>
          <w:sz w:val="24"/>
          <w:szCs w:val="24"/>
        </w:rPr>
        <w:t>.</w:t>
      </w:r>
    </w:p>
    <w:p w14:paraId="60CE3FE8" w14:textId="77777777" w:rsidR="0097539D" w:rsidRPr="00846B0F" w:rsidRDefault="0097539D" w:rsidP="00363730">
      <w:pPr>
        <w:pStyle w:val="Default"/>
        <w:spacing w:line="276" w:lineRule="auto"/>
        <w:rPr>
          <w:rFonts w:asciiTheme="minorHAnsi" w:hAnsiTheme="minorHAnsi" w:cs="Times New Roman"/>
          <w:color w:val="auto"/>
        </w:rPr>
      </w:pPr>
    </w:p>
    <w:p w14:paraId="6376A35C" w14:textId="77777777" w:rsidR="00E711D6" w:rsidRPr="00846B0F" w:rsidRDefault="00E711D6" w:rsidP="00363730">
      <w:pPr>
        <w:pStyle w:val="Norway2"/>
        <w:spacing w:line="276" w:lineRule="auto"/>
        <w:ind w:hanging="720"/>
        <w:rPr>
          <w:rFonts w:cs="Times New Roman"/>
        </w:rPr>
      </w:pPr>
      <w:bookmarkStart w:id="7" w:name="_Toc414459840"/>
      <w:bookmarkStart w:id="8" w:name="_Toc447029779"/>
      <w:r w:rsidRPr="00846B0F">
        <w:rPr>
          <w:rFonts w:cs="Times New Roman"/>
        </w:rPr>
        <w:t>Country Context</w:t>
      </w:r>
      <w:bookmarkEnd w:id="7"/>
      <w:bookmarkEnd w:id="8"/>
      <w:r w:rsidRPr="00846B0F">
        <w:rPr>
          <w:rFonts w:cs="Times New Roman"/>
        </w:rPr>
        <w:t xml:space="preserve"> </w:t>
      </w:r>
    </w:p>
    <w:p w14:paraId="5965F8D5" w14:textId="77777777" w:rsidR="001C3235" w:rsidRPr="00846B0F" w:rsidRDefault="001C3235" w:rsidP="00363730">
      <w:pPr>
        <w:spacing w:after="0" w:line="276" w:lineRule="auto"/>
        <w:jc w:val="both"/>
        <w:rPr>
          <w:rFonts w:cs="Times New Roman"/>
          <w:sz w:val="24"/>
          <w:szCs w:val="24"/>
        </w:rPr>
      </w:pPr>
    </w:p>
    <w:p w14:paraId="3807D93F" w14:textId="77777777" w:rsidR="006459CA" w:rsidRPr="00846B0F" w:rsidRDefault="006459CA" w:rsidP="006459CA">
      <w:pPr>
        <w:spacing w:after="0" w:line="276" w:lineRule="auto"/>
        <w:jc w:val="both"/>
        <w:rPr>
          <w:rFonts w:cs="Times New Roman"/>
          <w:sz w:val="24"/>
          <w:szCs w:val="24"/>
        </w:rPr>
      </w:pPr>
      <w:r w:rsidRPr="00846B0F">
        <w:rPr>
          <w:rFonts w:cs="Times New Roman"/>
          <w:sz w:val="24"/>
          <w:szCs w:val="24"/>
        </w:rPr>
        <w:t xml:space="preserve">The promulgation of the Kenyan Constitution in August 2010 brought in the devolved system of government, which was ushered in after the general elections of 4 March 2013. The county governments came into effect immediately after the elections and are still in the process of putting in place systems and structures of governance. Devolution still remains one of the far reaching governance reforms implemented under the Constitution of Kenya (2010). </w:t>
      </w:r>
      <w:r w:rsidR="00631B6B" w:rsidRPr="00846B0F">
        <w:rPr>
          <w:rFonts w:cs="Times New Roman"/>
          <w:sz w:val="24"/>
          <w:szCs w:val="24"/>
        </w:rPr>
        <w:t>S</w:t>
      </w:r>
      <w:r w:rsidRPr="00846B0F">
        <w:rPr>
          <w:rFonts w:cs="Times New Roman"/>
          <w:sz w:val="24"/>
          <w:szCs w:val="24"/>
        </w:rPr>
        <w:t xml:space="preserve">urveys show that despite the many challenges with implementing the devolved system of governance, Kenyans are still hopeful of the promise of devolution. An </w:t>
      </w:r>
      <w:proofErr w:type="spellStart"/>
      <w:r w:rsidRPr="00846B0F">
        <w:rPr>
          <w:rFonts w:cs="Times New Roman"/>
          <w:sz w:val="24"/>
          <w:szCs w:val="24"/>
        </w:rPr>
        <w:t>Infotrak</w:t>
      </w:r>
      <w:proofErr w:type="spellEnd"/>
      <w:r w:rsidRPr="00846B0F">
        <w:rPr>
          <w:rFonts w:cs="Times New Roman"/>
          <w:sz w:val="24"/>
          <w:szCs w:val="24"/>
        </w:rPr>
        <w:t xml:space="preserve"> survey released in April 2015 indicated that 69.7 percent of Kenyans feel that things are better than before. The survey indicated that positive or negative sentiments on the progress of devolution are informed by tangible development activities on the ground. This may include construction of rural access roads, availability of medicines in village dispensaries, access to agricultural inputs, etc. This optimism was further affirmed by an </w:t>
      </w:r>
      <w:proofErr w:type="spellStart"/>
      <w:r w:rsidRPr="00846B0F">
        <w:rPr>
          <w:rFonts w:cs="Times New Roman"/>
          <w:sz w:val="24"/>
          <w:szCs w:val="24"/>
        </w:rPr>
        <w:t>Ipsos</w:t>
      </w:r>
      <w:proofErr w:type="spellEnd"/>
      <w:r w:rsidRPr="00846B0F">
        <w:rPr>
          <w:rFonts w:cs="Times New Roman"/>
          <w:sz w:val="24"/>
          <w:szCs w:val="24"/>
        </w:rPr>
        <w:t xml:space="preserve"> </w:t>
      </w:r>
      <w:proofErr w:type="spellStart"/>
      <w:r w:rsidRPr="00846B0F">
        <w:rPr>
          <w:rFonts w:cs="Times New Roman"/>
          <w:sz w:val="24"/>
          <w:szCs w:val="24"/>
        </w:rPr>
        <w:t>Synovate</w:t>
      </w:r>
      <w:proofErr w:type="spellEnd"/>
      <w:r w:rsidRPr="00846B0F">
        <w:rPr>
          <w:rFonts w:cs="Times New Roman"/>
          <w:sz w:val="24"/>
          <w:szCs w:val="24"/>
        </w:rPr>
        <w:t xml:space="preserve"> study (April 2015), which indicated that 78 percent of Kenyans support devolution which is up from 66 percent in September 2014.</w:t>
      </w:r>
    </w:p>
    <w:p w14:paraId="202625DF" w14:textId="77777777" w:rsidR="006459CA" w:rsidRPr="00846B0F" w:rsidRDefault="006459CA" w:rsidP="006459CA">
      <w:pPr>
        <w:spacing w:after="0" w:line="276" w:lineRule="auto"/>
        <w:jc w:val="both"/>
        <w:rPr>
          <w:rFonts w:cs="Times New Roman"/>
          <w:sz w:val="24"/>
          <w:szCs w:val="24"/>
        </w:rPr>
      </w:pPr>
    </w:p>
    <w:p w14:paraId="7287A9A2" w14:textId="77777777" w:rsidR="006459CA" w:rsidRPr="00846B0F" w:rsidRDefault="006459CA" w:rsidP="006459CA">
      <w:pPr>
        <w:spacing w:after="0" w:line="276" w:lineRule="auto"/>
        <w:jc w:val="both"/>
        <w:rPr>
          <w:rFonts w:cs="Times New Roman"/>
          <w:sz w:val="24"/>
          <w:szCs w:val="24"/>
        </w:rPr>
      </w:pPr>
      <w:r w:rsidRPr="00846B0F">
        <w:rPr>
          <w:rFonts w:cs="Times New Roman"/>
          <w:sz w:val="24"/>
          <w:szCs w:val="24"/>
        </w:rPr>
        <w:t xml:space="preserve">One of the main indicators of the success of devolution is the transfer of devolved functions to the county governments. The transfer of functions was not undertaken in </w:t>
      </w:r>
      <w:r w:rsidR="00B539B1" w:rsidRPr="00846B0F">
        <w:rPr>
          <w:rFonts w:cs="Times New Roman"/>
          <w:sz w:val="24"/>
          <w:szCs w:val="24"/>
        </w:rPr>
        <w:t>a phased</w:t>
      </w:r>
      <w:r w:rsidRPr="00846B0F">
        <w:rPr>
          <w:rFonts w:cs="Times New Roman"/>
          <w:sz w:val="24"/>
          <w:szCs w:val="24"/>
        </w:rPr>
        <w:t xml:space="preserve"> manner as had been anticipated in the constitution</w:t>
      </w:r>
      <w:r w:rsidR="0081711D">
        <w:rPr>
          <w:rFonts w:cs="Times New Roman"/>
          <w:sz w:val="24"/>
          <w:szCs w:val="24"/>
        </w:rPr>
        <w:t xml:space="preserve"> but </w:t>
      </w:r>
      <w:r w:rsidR="0081711D">
        <w:rPr>
          <w:rFonts w:cs="Times New Roman"/>
          <w:sz w:val="24"/>
          <w:szCs w:val="24"/>
        </w:rPr>
        <w:lastRenderedPageBreak/>
        <w:t>as a one off transfer</w:t>
      </w:r>
      <w:r w:rsidR="00631B6B" w:rsidRPr="00846B0F">
        <w:rPr>
          <w:rFonts w:cs="Times New Roman"/>
          <w:sz w:val="24"/>
          <w:szCs w:val="24"/>
        </w:rPr>
        <w:t>. This</w:t>
      </w:r>
      <w:r w:rsidRPr="00846B0F">
        <w:rPr>
          <w:rFonts w:cs="Times New Roman"/>
          <w:sz w:val="24"/>
          <w:szCs w:val="24"/>
        </w:rPr>
        <w:t xml:space="preserve"> has brought to the fore some of the capacity challenges faced by the county governments in managing some of the </w:t>
      </w:r>
      <w:r w:rsidR="00631B6B" w:rsidRPr="00846B0F">
        <w:rPr>
          <w:rFonts w:cs="Times New Roman"/>
          <w:sz w:val="24"/>
          <w:szCs w:val="24"/>
        </w:rPr>
        <w:t xml:space="preserve">devolved </w:t>
      </w:r>
      <w:r w:rsidRPr="00846B0F">
        <w:rPr>
          <w:rFonts w:cs="Times New Roman"/>
          <w:sz w:val="24"/>
          <w:szCs w:val="24"/>
        </w:rPr>
        <w:t>functions such as health. The principle of resources</w:t>
      </w:r>
      <w:r w:rsidR="00631B6B" w:rsidRPr="00846B0F">
        <w:rPr>
          <w:rFonts w:cs="Times New Roman"/>
          <w:sz w:val="24"/>
          <w:szCs w:val="24"/>
        </w:rPr>
        <w:t xml:space="preserve"> </w:t>
      </w:r>
      <w:r w:rsidRPr="00846B0F">
        <w:rPr>
          <w:rFonts w:cs="Times New Roman"/>
          <w:sz w:val="24"/>
          <w:szCs w:val="24"/>
        </w:rPr>
        <w:t>follow</w:t>
      </w:r>
      <w:r w:rsidR="00631B6B" w:rsidRPr="00846B0F">
        <w:rPr>
          <w:rFonts w:cs="Times New Roman"/>
          <w:sz w:val="24"/>
          <w:szCs w:val="24"/>
        </w:rPr>
        <w:t xml:space="preserve"> </w:t>
      </w:r>
      <w:r w:rsidRPr="00846B0F">
        <w:rPr>
          <w:rFonts w:cs="Times New Roman"/>
          <w:sz w:val="24"/>
          <w:szCs w:val="24"/>
        </w:rPr>
        <w:t xml:space="preserve">functions was not accompanied by an evidence based analysis on how much it would cost for a county government to undertake the functions. This has led to misunderstanding between national government and county governments on how much it would cost to provide services to the public in an effective and efficient manner. To this end, the costing of government functions </w:t>
      </w:r>
      <w:r w:rsidR="003C3B1C" w:rsidRPr="00846B0F">
        <w:rPr>
          <w:rFonts w:cs="Times New Roman"/>
          <w:sz w:val="24"/>
          <w:szCs w:val="24"/>
        </w:rPr>
        <w:t xml:space="preserve">undertaken by TA and CRA </w:t>
      </w:r>
      <w:r w:rsidR="00605DC6">
        <w:rPr>
          <w:rFonts w:cs="Times New Roman"/>
          <w:sz w:val="24"/>
          <w:szCs w:val="24"/>
        </w:rPr>
        <w:t xml:space="preserve">with Norway’s support </w:t>
      </w:r>
      <w:r w:rsidR="003C3B1C" w:rsidRPr="00846B0F">
        <w:rPr>
          <w:rFonts w:cs="Times New Roman"/>
          <w:sz w:val="24"/>
          <w:szCs w:val="24"/>
        </w:rPr>
        <w:t xml:space="preserve">was meant to </w:t>
      </w:r>
      <w:r w:rsidRPr="00846B0F">
        <w:rPr>
          <w:rFonts w:cs="Times New Roman"/>
          <w:sz w:val="24"/>
          <w:szCs w:val="24"/>
        </w:rPr>
        <w:t>establish the realistic costs of service delivery.</w:t>
      </w:r>
      <w:r w:rsidR="003C3B1C" w:rsidRPr="00846B0F">
        <w:rPr>
          <w:rFonts w:cs="Times New Roman"/>
          <w:sz w:val="24"/>
          <w:szCs w:val="24"/>
        </w:rPr>
        <w:t xml:space="preserve"> </w:t>
      </w:r>
      <w:r w:rsidR="00605DC6">
        <w:rPr>
          <w:rFonts w:cs="Times New Roman"/>
          <w:sz w:val="24"/>
          <w:szCs w:val="24"/>
        </w:rPr>
        <w:t>This</w:t>
      </w:r>
      <w:r w:rsidR="003C3B1C" w:rsidRPr="00846B0F">
        <w:rPr>
          <w:rFonts w:cs="Times New Roman"/>
          <w:sz w:val="24"/>
          <w:szCs w:val="24"/>
        </w:rPr>
        <w:t xml:space="preserve"> report will be used as a basis for future </w:t>
      </w:r>
      <w:r w:rsidR="008F4ADB">
        <w:rPr>
          <w:rFonts w:cs="Times New Roman"/>
          <w:sz w:val="24"/>
          <w:szCs w:val="24"/>
        </w:rPr>
        <w:t>government decisions on efficient and effective resource allocation levels for counties.</w:t>
      </w:r>
      <w:r w:rsidR="003C3B1C" w:rsidRPr="00846B0F">
        <w:rPr>
          <w:rFonts w:cs="Times New Roman"/>
          <w:sz w:val="24"/>
          <w:szCs w:val="24"/>
        </w:rPr>
        <w:t xml:space="preserve">  </w:t>
      </w:r>
    </w:p>
    <w:p w14:paraId="5983B2F2" w14:textId="77777777" w:rsidR="006459CA" w:rsidRPr="00846B0F" w:rsidRDefault="006459CA" w:rsidP="006459CA">
      <w:pPr>
        <w:spacing w:after="0" w:line="276" w:lineRule="auto"/>
        <w:jc w:val="both"/>
        <w:rPr>
          <w:rFonts w:cs="Times New Roman"/>
          <w:sz w:val="24"/>
          <w:szCs w:val="24"/>
        </w:rPr>
      </w:pPr>
    </w:p>
    <w:p w14:paraId="2C74DAF0" w14:textId="77777777" w:rsidR="006459CA" w:rsidRPr="00846B0F" w:rsidRDefault="006459CA" w:rsidP="006459CA">
      <w:pPr>
        <w:spacing w:after="0" w:line="276" w:lineRule="auto"/>
        <w:jc w:val="both"/>
        <w:rPr>
          <w:rFonts w:cs="Times New Roman"/>
          <w:sz w:val="24"/>
          <w:szCs w:val="24"/>
        </w:rPr>
      </w:pPr>
      <w:r w:rsidRPr="00846B0F">
        <w:rPr>
          <w:rFonts w:cs="Times New Roman"/>
          <w:sz w:val="24"/>
          <w:szCs w:val="24"/>
        </w:rPr>
        <w:t xml:space="preserve">The County Budget Implementation Review Reports by the Office of the Controller of Budget for the Financial Year 2014/15 indicates that county governments were allocated </w:t>
      </w:r>
      <w:proofErr w:type="spellStart"/>
      <w:r w:rsidRPr="00846B0F">
        <w:rPr>
          <w:rFonts w:cs="Times New Roman"/>
          <w:sz w:val="24"/>
          <w:szCs w:val="24"/>
        </w:rPr>
        <w:t>KSh</w:t>
      </w:r>
      <w:proofErr w:type="spellEnd"/>
      <w:r w:rsidRPr="00846B0F">
        <w:rPr>
          <w:rFonts w:cs="Times New Roman"/>
          <w:sz w:val="24"/>
          <w:szCs w:val="24"/>
        </w:rPr>
        <w:t xml:space="preserve">. 321.56 billion, which comprised of KSh.181.28 billion (56.4 per cent) for recurrent expenditure and KSh.140.29 billion (43.6 per cent) for development expenditure. The reports highlight the challenges facing budget execution at the county levels such as the adoption of the Integrated Financial Management Information System (IFMIS), low capacity of technical staff, and compliance with budgetary timelines as provided for in the Public Finance Management (PFM) Act 2012. Other challenges that continue to hamper effective budget execution that require attention include: failure to align supplementary budgets with financial records prior to approval by the county assemblies; failure to submit quarterly financial reports by administrators of established county funds; diversion of exchequer released activities outside the approved work plan; lack of effective monitoring and evaluation frameworks to monitor implementation of development projects; frequent </w:t>
      </w:r>
      <w:proofErr w:type="spellStart"/>
      <w:r w:rsidRPr="00846B0F">
        <w:rPr>
          <w:rFonts w:cs="Times New Roman"/>
          <w:sz w:val="24"/>
          <w:szCs w:val="24"/>
        </w:rPr>
        <w:t>labour</w:t>
      </w:r>
      <w:proofErr w:type="spellEnd"/>
      <w:r w:rsidRPr="00846B0F">
        <w:rPr>
          <w:rFonts w:cs="Times New Roman"/>
          <w:sz w:val="24"/>
          <w:szCs w:val="24"/>
        </w:rPr>
        <w:t xml:space="preserve"> actions by </w:t>
      </w:r>
      <w:r w:rsidRPr="00846B0F">
        <w:rPr>
          <w:rFonts w:cs="Times New Roman"/>
          <w:sz w:val="24"/>
          <w:szCs w:val="24"/>
        </w:rPr>
        <w:lastRenderedPageBreak/>
        <w:t xml:space="preserve">health workers that interrupted the health sector service delivery. The challenges in public financial management continue to be addressed by strengthening accountability measures at both national and county levels. Capacity development measures such as those that UNDP is supporting </w:t>
      </w:r>
      <w:r w:rsidR="00F46481">
        <w:rPr>
          <w:rFonts w:cs="Times New Roman"/>
          <w:sz w:val="24"/>
          <w:szCs w:val="24"/>
        </w:rPr>
        <w:t xml:space="preserve">with Norway’s funds </w:t>
      </w:r>
      <w:r w:rsidRPr="00846B0F">
        <w:rPr>
          <w:rFonts w:cs="Times New Roman"/>
          <w:sz w:val="24"/>
          <w:szCs w:val="24"/>
        </w:rPr>
        <w:t xml:space="preserve">through the Kenya School of Government (KSG) </w:t>
      </w:r>
      <w:r w:rsidR="00F646EA" w:rsidRPr="00846B0F">
        <w:rPr>
          <w:rFonts w:cs="Times New Roman"/>
          <w:sz w:val="24"/>
          <w:szCs w:val="24"/>
        </w:rPr>
        <w:t xml:space="preserve">and in targeted counties </w:t>
      </w:r>
      <w:r w:rsidRPr="00846B0F">
        <w:rPr>
          <w:rFonts w:cs="Times New Roman"/>
          <w:sz w:val="24"/>
          <w:szCs w:val="24"/>
        </w:rPr>
        <w:t xml:space="preserve">will also help improve the ability of county governments to establish performance management systems and accountability mechanisms in the utilization of public resources. </w:t>
      </w:r>
      <w:r w:rsidR="003C3B1C" w:rsidRPr="00846B0F">
        <w:rPr>
          <w:rFonts w:cs="Times New Roman"/>
          <w:sz w:val="24"/>
          <w:szCs w:val="24"/>
        </w:rPr>
        <w:t xml:space="preserve">UNDP </w:t>
      </w:r>
      <w:r w:rsidR="000320F9" w:rsidRPr="00846B0F">
        <w:rPr>
          <w:rFonts w:cs="Times New Roman"/>
          <w:sz w:val="24"/>
          <w:szCs w:val="24"/>
        </w:rPr>
        <w:t>has</w:t>
      </w:r>
      <w:r w:rsidR="003C3B1C" w:rsidRPr="00846B0F">
        <w:rPr>
          <w:rFonts w:cs="Times New Roman"/>
          <w:sz w:val="24"/>
          <w:szCs w:val="24"/>
        </w:rPr>
        <w:t xml:space="preserve"> support</w:t>
      </w:r>
      <w:r w:rsidR="000320F9" w:rsidRPr="00846B0F">
        <w:rPr>
          <w:rFonts w:cs="Times New Roman"/>
          <w:sz w:val="24"/>
          <w:szCs w:val="24"/>
        </w:rPr>
        <w:t>ed</w:t>
      </w:r>
      <w:r w:rsidR="003C3B1C" w:rsidRPr="00846B0F">
        <w:rPr>
          <w:rFonts w:cs="Times New Roman"/>
          <w:sz w:val="24"/>
          <w:szCs w:val="24"/>
        </w:rPr>
        <w:t xml:space="preserve"> the Intergovernmental Budget and Economic Council (IBEC) </w:t>
      </w:r>
      <w:r w:rsidR="000320F9" w:rsidRPr="00846B0F">
        <w:rPr>
          <w:rFonts w:cs="Times New Roman"/>
          <w:sz w:val="24"/>
          <w:szCs w:val="24"/>
        </w:rPr>
        <w:t>to develop consensus on budget ceilings. To this end, IBEC has approved</w:t>
      </w:r>
      <w:r w:rsidR="003C3B1C" w:rsidRPr="00846B0F">
        <w:rPr>
          <w:rFonts w:cs="Times New Roman"/>
          <w:sz w:val="24"/>
          <w:szCs w:val="24"/>
        </w:rPr>
        <w:t xml:space="preserve"> the use of county budget ceilings to ensure that </w:t>
      </w:r>
      <w:r w:rsidR="00CF34BE" w:rsidRPr="00846B0F">
        <w:rPr>
          <w:rFonts w:cs="Times New Roman"/>
          <w:sz w:val="24"/>
          <w:szCs w:val="24"/>
        </w:rPr>
        <w:t xml:space="preserve">counties adhere to stipulated ceilings on recurrent and development expenditure. </w:t>
      </w:r>
    </w:p>
    <w:p w14:paraId="19FFE7AE" w14:textId="77777777" w:rsidR="00E454CE" w:rsidRDefault="00E454CE">
      <w:pPr>
        <w:rPr>
          <w:rFonts w:cs="Times New Roman"/>
          <w:sz w:val="24"/>
          <w:szCs w:val="24"/>
        </w:rPr>
      </w:pPr>
      <w:r>
        <w:rPr>
          <w:rFonts w:cs="Times New Roman"/>
          <w:sz w:val="24"/>
          <w:szCs w:val="24"/>
        </w:rPr>
        <w:br w:type="page"/>
      </w:r>
    </w:p>
    <w:p w14:paraId="0967C46C" w14:textId="77777777" w:rsidR="004A6E92" w:rsidRPr="00846B0F" w:rsidRDefault="00BD37BF" w:rsidP="000320F9">
      <w:pPr>
        <w:pStyle w:val="Norway2"/>
        <w:spacing w:line="276" w:lineRule="auto"/>
        <w:ind w:hanging="720"/>
        <w:jc w:val="both"/>
        <w:rPr>
          <w:rFonts w:cs="Times New Roman"/>
        </w:rPr>
      </w:pPr>
      <w:bookmarkStart w:id="9" w:name="_Toc447029780"/>
      <w:bookmarkStart w:id="10" w:name="_Toc414459841"/>
      <w:r w:rsidRPr="00846B0F">
        <w:rPr>
          <w:rFonts w:cs="Times New Roman"/>
        </w:rPr>
        <w:lastRenderedPageBreak/>
        <w:t>Project Implementation and Achievements</w:t>
      </w:r>
      <w:bookmarkEnd w:id="9"/>
      <w:r w:rsidRPr="00846B0F">
        <w:rPr>
          <w:rFonts w:cs="Times New Roman"/>
        </w:rPr>
        <w:t xml:space="preserve"> </w:t>
      </w:r>
      <w:bookmarkEnd w:id="10"/>
    </w:p>
    <w:p w14:paraId="6CE71E47" w14:textId="77777777" w:rsidR="00363730" w:rsidRPr="00846B0F" w:rsidRDefault="00363730" w:rsidP="00212923">
      <w:pPr>
        <w:spacing w:after="0" w:line="276" w:lineRule="auto"/>
        <w:jc w:val="both"/>
        <w:rPr>
          <w:rFonts w:eastAsia="Batang" w:cs="Times New Roman"/>
          <w:color w:val="FF0000"/>
          <w:sz w:val="24"/>
          <w:szCs w:val="24"/>
        </w:rPr>
      </w:pPr>
    </w:p>
    <w:p w14:paraId="798168B9" w14:textId="77777777" w:rsidR="00535514" w:rsidRPr="00846B0F" w:rsidRDefault="002E39FF" w:rsidP="00363730">
      <w:pPr>
        <w:spacing w:after="0" w:line="276" w:lineRule="auto"/>
        <w:jc w:val="both"/>
        <w:rPr>
          <w:rFonts w:cs="Times New Roman"/>
          <w:sz w:val="24"/>
          <w:szCs w:val="24"/>
        </w:rPr>
      </w:pPr>
      <w:r w:rsidRPr="00846B0F">
        <w:rPr>
          <w:rFonts w:eastAsia="Batang" w:cs="Times New Roman"/>
          <w:sz w:val="24"/>
          <w:szCs w:val="24"/>
        </w:rPr>
        <w:t xml:space="preserve">The support from the Government of Norway was targeted to three out of the five outputs under the </w:t>
      </w:r>
      <w:r w:rsidR="00A53A2E" w:rsidRPr="00846B0F">
        <w:rPr>
          <w:rFonts w:eastAsia="Batang" w:cs="Times New Roman"/>
          <w:sz w:val="24"/>
          <w:szCs w:val="24"/>
        </w:rPr>
        <w:t>I</w:t>
      </w:r>
      <w:r w:rsidRPr="00846B0F">
        <w:rPr>
          <w:rFonts w:eastAsia="Batang" w:cs="Times New Roman"/>
          <w:sz w:val="24"/>
          <w:szCs w:val="24"/>
        </w:rPr>
        <w:t xml:space="preserve">ntegrated </w:t>
      </w:r>
      <w:r w:rsidR="00A53A2E" w:rsidRPr="00846B0F">
        <w:rPr>
          <w:rFonts w:eastAsia="Batang" w:cs="Times New Roman"/>
          <w:sz w:val="24"/>
          <w:szCs w:val="24"/>
        </w:rPr>
        <w:t>D</w:t>
      </w:r>
      <w:r w:rsidRPr="00846B0F">
        <w:rPr>
          <w:rFonts w:eastAsia="Batang" w:cs="Times New Roman"/>
          <w:sz w:val="24"/>
          <w:szCs w:val="24"/>
        </w:rPr>
        <w:t xml:space="preserve">evolution </w:t>
      </w:r>
      <w:r w:rsidR="00A53A2E" w:rsidRPr="00846B0F">
        <w:rPr>
          <w:rFonts w:eastAsia="Batang" w:cs="Times New Roman"/>
          <w:sz w:val="24"/>
          <w:szCs w:val="24"/>
        </w:rPr>
        <w:t>S</w:t>
      </w:r>
      <w:r w:rsidRPr="00846B0F">
        <w:rPr>
          <w:rFonts w:eastAsia="Batang" w:cs="Times New Roman"/>
          <w:sz w:val="24"/>
          <w:szCs w:val="24"/>
        </w:rPr>
        <w:t xml:space="preserve">upport </w:t>
      </w:r>
      <w:r w:rsidR="00A53A2E" w:rsidRPr="00846B0F">
        <w:rPr>
          <w:rFonts w:eastAsia="Batang" w:cs="Times New Roman"/>
          <w:sz w:val="24"/>
          <w:szCs w:val="24"/>
        </w:rPr>
        <w:t>P</w:t>
      </w:r>
      <w:r w:rsidRPr="00846B0F">
        <w:rPr>
          <w:rFonts w:eastAsia="Batang" w:cs="Times New Roman"/>
          <w:sz w:val="24"/>
          <w:szCs w:val="24"/>
        </w:rPr>
        <w:t>rogramm</w:t>
      </w:r>
      <w:r w:rsidR="00C269C7" w:rsidRPr="00846B0F">
        <w:rPr>
          <w:rFonts w:eastAsia="Batang" w:cs="Times New Roman"/>
          <w:sz w:val="24"/>
          <w:szCs w:val="24"/>
        </w:rPr>
        <w:t xml:space="preserve">e and for programme management. </w:t>
      </w:r>
      <w:r w:rsidR="0058332E" w:rsidRPr="00846B0F">
        <w:rPr>
          <w:rFonts w:cs="Times New Roman"/>
          <w:sz w:val="24"/>
          <w:szCs w:val="24"/>
        </w:rPr>
        <w:t xml:space="preserve">The programme </w:t>
      </w:r>
      <w:r w:rsidR="00304031" w:rsidRPr="00846B0F">
        <w:rPr>
          <w:rFonts w:cs="Times New Roman"/>
          <w:sz w:val="24"/>
          <w:szCs w:val="24"/>
        </w:rPr>
        <w:t xml:space="preserve">has </w:t>
      </w:r>
      <w:r w:rsidR="0058332E" w:rsidRPr="00846B0F">
        <w:rPr>
          <w:rFonts w:cs="Times New Roman"/>
          <w:sz w:val="24"/>
          <w:szCs w:val="24"/>
        </w:rPr>
        <w:t xml:space="preserve">achieved </w:t>
      </w:r>
      <w:r w:rsidR="00304031" w:rsidRPr="00846B0F">
        <w:rPr>
          <w:rFonts w:cs="Times New Roman"/>
          <w:sz w:val="24"/>
          <w:szCs w:val="24"/>
        </w:rPr>
        <w:t xml:space="preserve">significant programme </w:t>
      </w:r>
      <w:r w:rsidR="0058332E" w:rsidRPr="00846B0F">
        <w:rPr>
          <w:rFonts w:cs="Times New Roman"/>
          <w:sz w:val="24"/>
          <w:szCs w:val="24"/>
        </w:rPr>
        <w:t xml:space="preserve">results in targeted areas during the </w:t>
      </w:r>
      <w:r w:rsidR="0016495E" w:rsidRPr="00846B0F">
        <w:rPr>
          <w:rFonts w:cs="Times New Roman"/>
          <w:sz w:val="24"/>
          <w:szCs w:val="24"/>
        </w:rPr>
        <w:t xml:space="preserve">reporting </w:t>
      </w:r>
      <w:r w:rsidR="0058332E" w:rsidRPr="00846B0F">
        <w:rPr>
          <w:rFonts w:cs="Times New Roman"/>
          <w:sz w:val="24"/>
          <w:szCs w:val="24"/>
        </w:rPr>
        <w:t xml:space="preserve">period </w:t>
      </w:r>
      <w:r w:rsidR="00304031" w:rsidRPr="00846B0F">
        <w:rPr>
          <w:rFonts w:cs="Times New Roman"/>
          <w:sz w:val="24"/>
          <w:szCs w:val="24"/>
        </w:rPr>
        <w:t xml:space="preserve">which are </w:t>
      </w:r>
      <w:r w:rsidR="005023FE" w:rsidRPr="00846B0F">
        <w:rPr>
          <w:rFonts w:cs="Times New Roman"/>
          <w:sz w:val="24"/>
          <w:szCs w:val="24"/>
        </w:rPr>
        <w:t>elaborated</w:t>
      </w:r>
      <w:r w:rsidR="00304031" w:rsidRPr="00846B0F">
        <w:rPr>
          <w:rFonts w:cs="Times New Roman"/>
          <w:sz w:val="24"/>
          <w:szCs w:val="24"/>
        </w:rPr>
        <w:t xml:space="preserve"> below</w:t>
      </w:r>
      <w:r w:rsidR="00C269C7" w:rsidRPr="00846B0F">
        <w:rPr>
          <w:rFonts w:cs="Times New Roman"/>
          <w:sz w:val="24"/>
          <w:szCs w:val="24"/>
        </w:rPr>
        <w:t>.</w:t>
      </w:r>
      <w:r w:rsidR="00304031" w:rsidRPr="00846B0F">
        <w:rPr>
          <w:rFonts w:cs="Times New Roman"/>
          <w:sz w:val="24"/>
          <w:szCs w:val="24"/>
        </w:rPr>
        <w:t xml:space="preserve"> </w:t>
      </w:r>
      <w:r w:rsidR="005023FE" w:rsidRPr="00846B0F">
        <w:rPr>
          <w:rFonts w:cs="Times New Roman"/>
          <w:sz w:val="24"/>
          <w:szCs w:val="24"/>
        </w:rPr>
        <w:t xml:space="preserve">Additional areas of </w:t>
      </w:r>
      <w:r w:rsidR="0082423B" w:rsidRPr="00846B0F">
        <w:rPr>
          <w:rFonts w:cs="Times New Roman"/>
          <w:sz w:val="24"/>
          <w:szCs w:val="24"/>
        </w:rPr>
        <w:t xml:space="preserve">support in the last quarter included support to output three on evidence based planning, budgeting for improved service delivery at county level in tandem with reduced security threats and improved response to risk and disaster in selected counties. </w:t>
      </w:r>
    </w:p>
    <w:p w14:paraId="749B86CD" w14:textId="77777777" w:rsidR="00535514" w:rsidRPr="00846B0F" w:rsidRDefault="00535514" w:rsidP="00363730">
      <w:pPr>
        <w:spacing w:after="0" w:line="276" w:lineRule="auto"/>
        <w:jc w:val="both"/>
        <w:rPr>
          <w:rFonts w:cs="Times New Roman"/>
          <w:sz w:val="24"/>
          <w:szCs w:val="24"/>
        </w:rPr>
      </w:pPr>
    </w:p>
    <w:p w14:paraId="0D8F6195" w14:textId="77777777" w:rsidR="00856C21" w:rsidRPr="00291E3E" w:rsidRDefault="005558B8" w:rsidP="00291E3E">
      <w:pPr>
        <w:pStyle w:val="Heading2"/>
        <w:numPr>
          <w:ilvl w:val="0"/>
          <w:numId w:val="15"/>
        </w:numPr>
        <w:rPr>
          <w:rFonts w:cs="Times New Roman"/>
          <w:color w:val="00B0F0"/>
          <w:sz w:val="24"/>
          <w:szCs w:val="24"/>
        </w:rPr>
      </w:pPr>
      <w:r w:rsidRPr="00291E3E">
        <w:rPr>
          <w:rFonts w:cs="Times New Roman"/>
          <w:color w:val="00B0F0"/>
          <w:sz w:val="24"/>
          <w:szCs w:val="24"/>
        </w:rPr>
        <w:t>P</w:t>
      </w:r>
      <w:r w:rsidR="00A96CE3" w:rsidRPr="00291E3E">
        <w:rPr>
          <w:rFonts w:cs="Times New Roman"/>
          <w:color w:val="00B0F0"/>
          <w:sz w:val="24"/>
          <w:szCs w:val="24"/>
        </w:rPr>
        <w:t>olicies, L</w:t>
      </w:r>
      <w:r w:rsidR="00856C21" w:rsidRPr="00291E3E">
        <w:rPr>
          <w:rFonts w:cs="Times New Roman"/>
          <w:color w:val="00B0F0"/>
          <w:sz w:val="24"/>
          <w:szCs w:val="24"/>
        </w:rPr>
        <w:t xml:space="preserve">aws </w:t>
      </w:r>
      <w:r w:rsidR="000A5C75" w:rsidRPr="00291E3E">
        <w:rPr>
          <w:rFonts w:cs="Times New Roman"/>
          <w:color w:val="00B0F0"/>
          <w:sz w:val="24"/>
          <w:szCs w:val="24"/>
        </w:rPr>
        <w:t>a</w:t>
      </w:r>
      <w:r w:rsidR="00A96CE3" w:rsidRPr="00291E3E">
        <w:rPr>
          <w:rFonts w:cs="Times New Roman"/>
          <w:color w:val="00B0F0"/>
          <w:sz w:val="24"/>
          <w:szCs w:val="24"/>
        </w:rPr>
        <w:t>nd Institutional Reforms for Effective Implementation o</w:t>
      </w:r>
      <w:r w:rsidR="000A5C75" w:rsidRPr="00291E3E">
        <w:rPr>
          <w:rFonts w:cs="Times New Roman"/>
          <w:color w:val="00B0F0"/>
          <w:sz w:val="24"/>
          <w:szCs w:val="24"/>
        </w:rPr>
        <w:t>f t</w:t>
      </w:r>
      <w:r w:rsidR="00A96CE3" w:rsidRPr="00291E3E">
        <w:rPr>
          <w:rFonts w:cs="Times New Roman"/>
          <w:color w:val="00B0F0"/>
          <w:sz w:val="24"/>
          <w:szCs w:val="24"/>
        </w:rPr>
        <w:t xml:space="preserve">he </w:t>
      </w:r>
      <w:r w:rsidR="00856C21" w:rsidRPr="00291E3E">
        <w:rPr>
          <w:rFonts w:cs="Times New Roman"/>
          <w:color w:val="00B0F0"/>
          <w:sz w:val="24"/>
          <w:szCs w:val="24"/>
        </w:rPr>
        <w:t xml:space="preserve">Constitution </w:t>
      </w:r>
      <w:r w:rsidR="00A96CE3" w:rsidRPr="00291E3E">
        <w:rPr>
          <w:rFonts w:cs="Times New Roman"/>
          <w:color w:val="00B0F0"/>
          <w:sz w:val="24"/>
          <w:szCs w:val="24"/>
        </w:rPr>
        <w:t>a</w:t>
      </w:r>
      <w:r w:rsidR="000A5C75" w:rsidRPr="00291E3E">
        <w:rPr>
          <w:rFonts w:cs="Times New Roman"/>
          <w:color w:val="00B0F0"/>
          <w:sz w:val="24"/>
          <w:szCs w:val="24"/>
        </w:rPr>
        <w:t>t National a</w:t>
      </w:r>
      <w:r w:rsidR="00A96CE3" w:rsidRPr="00291E3E">
        <w:rPr>
          <w:rFonts w:cs="Times New Roman"/>
          <w:color w:val="00B0F0"/>
          <w:sz w:val="24"/>
          <w:szCs w:val="24"/>
        </w:rPr>
        <w:t>nd County Levels are Adopted</w:t>
      </w:r>
    </w:p>
    <w:p w14:paraId="509F5563" w14:textId="77777777" w:rsidR="00856C21" w:rsidRPr="00846B0F" w:rsidRDefault="00856C21" w:rsidP="00363730">
      <w:pPr>
        <w:pStyle w:val="NoSpacing"/>
        <w:spacing w:line="276" w:lineRule="auto"/>
        <w:jc w:val="both"/>
        <w:rPr>
          <w:rFonts w:cs="Times New Roman"/>
          <w:color w:val="FF0000"/>
          <w:sz w:val="24"/>
          <w:szCs w:val="24"/>
        </w:rPr>
      </w:pPr>
    </w:p>
    <w:p w14:paraId="0B9BA304" w14:textId="77777777" w:rsidR="00C30B0B" w:rsidRPr="00846B0F" w:rsidRDefault="00535514" w:rsidP="00C30B0B">
      <w:pPr>
        <w:spacing w:after="0"/>
        <w:jc w:val="both"/>
        <w:rPr>
          <w:sz w:val="24"/>
          <w:szCs w:val="24"/>
        </w:rPr>
      </w:pPr>
      <w:r w:rsidRPr="00846B0F">
        <w:rPr>
          <w:rFonts w:eastAsia="Batang" w:cs="Times New Roman"/>
          <w:noProof/>
          <w:sz w:val="24"/>
          <w:szCs w:val="24"/>
        </w:rPr>
        <mc:AlternateContent>
          <mc:Choice Requires="wps">
            <w:drawing>
              <wp:anchor distT="0" distB="0" distL="114300" distR="114300" simplePos="0" relativeHeight="251645952" behindDoc="0" locked="0" layoutInCell="1" allowOverlap="1" wp14:anchorId="10525BE9" wp14:editId="429CC40C">
                <wp:simplePos x="0" y="0"/>
                <wp:positionH relativeFrom="column">
                  <wp:posOffset>38100</wp:posOffset>
                </wp:positionH>
                <wp:positionV relativeFrom="paragraph">
                  <wp:posOffset>99060</wp:posOffset>
                </wp:positionV>
                <wp:extent cx="2409825" cy="1981200"/>
                <wp:effectExtent l="0" t="0" r="28575" b="19050"/>
                <wp:wrapThrough wrapText="bothSides">
                  <wp:wrapPolygon edited="0">
                    <wp:start x="0" y="0"/>
                    <wp:lineTo x="0" y="21600"/>
                    <wp:lineTo x="21685" y="21600"/>
                    <wp:lineTo x="21685" y="0"/>
                    <wp:lineTo x="0" y="0"/>
                  </wp:wrapPolygon>
                </wp:wrapThrough>
                <wp:docPr id="5" name="Rectangle 5"/>
                <wp:cNvGraphicFramePr/>
                <a:graphic xmlns:a="http://schemas.openxmlformats.org/drawingml/2006/main">
                  <a:graphicData uri="http://schemas.microsoft.com/office/word/2010/wordprocessingShape">
                    <wps:wsp>
                      <wps:cNvSpPr/>
                      <wps:spPr>
                        <a:xfrm>
                          <a:off x="0" y="0"/>
                          <a:ext cx="2409825" cy="1981200"/>
                        </a:xfrm>
                        <a:prstGeom prst="rect">
                          <a:avLst/>
                        </a:prstGeom>
                      </wps:spPr>
                      <wps:style>
                        <a:lnRef idx="2">
                          <a:schemeClr val="accent6"/>
                        </a:lnRef>
                        <a:fillRef idx="1001">
                          <a:schemeClr val="lt2"/>
                        </a:fillRef>
                        <a:effectRef idx="0">
                          <a:schemeClr val="accent6"/>
                        </a:effectRef>
                        <a:fontRef idx="minor">
                          <a:schemeClr val="dk1"/>
                        </a:fontRef>
                      </wps:style>
                      <wps:txbx>
                        <w:txbxContent>
                          <w:p w14:paraId="3F79820F" w14:textId="77777777" w:rsidR="00477F5B" w:rsidRPr="00C57025" w:rsidRDefault="00477F5B" w:rsidP="00B713DF">
                            <w:pPr>
                              <w:rPr>
                                <w:b/>
                                <w:sz w:val="20"/>
                                <w:szCs w:val="20"/>
                              </w:rPr>
                            </w:pPr>
                            <w:r>
                              <w:rPr>
                                <w:b/>
                                <w:sz w:val="20"/>
                                <w:szCs w:val="20"/>
                              </w:rPr>
                              <w:t xml:space="preserve"> Objectives of the </w:t>
                            </w:r>
                            <w:r w:rsidRPr="00C57025">
                              <w:rPr>
                                <w:b/>
                                <w:sz w:val="20"/>
                                <w:szCs w:val="20"/>
                              </w:rPr>
                              <w:t xml:space="preserve">Devolution Policy </w:t>
                            </w:r>
                          </w:p>
                          <w:p w14:paraId="337F5670" w14:textId="77777777" w:rsidR="00477F5B" w:rsidRDefault="00477F5B" w:rsidP="0075650A">
                            <w:pPr>
                              <w:pStyle w:val="ListParagraph"/>
                              <w:numPr>
                                <w:ilvl w:val="0"/>
                                <w:numId w:val="6"/>
                              </w:numPr>
                              <w:rPr>
                                <w:sz w:val="20"/>
                                <w:szCs w:val="20"/>
                              </w:rPr>
                            </w:pPr>
                            <w:r w:rsidRPr="00B713DF">
                              <w:rPr>
                                <w:sz w:val="20"/>
                                <w:szCs w:val="20"/>
                              </w:rPr>
                              <w:t>Promote public participation</w:t>
                            </w:r>
                            <w:r>
                              <w:rPr>
                                <w:sz w:val="20"/>
                                <w:szCs w:val="20"/>
                              </w:rPr>
                              <w:t xml:space="preserve"> and citizen engagement</w:t>
                            </w:r>
                          </w:p>
                          <w:p w14:paraId="3723CA20" w14:textId="77777777" w:rsidR="00477F5B" w:rsidRPr="00B713DF" w:rsidRDefault="00477F5B" w:rsidP="0075650A">
                            <w:pPr>
                              <w:pStyle w:val="ListParagraph"/>
                              <w:numPr>
                                <w:ilvl w:val="0"/>
                                <w:numId w:val="6"/>
                              </w:numPr>
                              <w:rPr>
                                <w:sz w:val="20"/>
                                <w:szCs w:val="20"/>
                              </w:rPr>
                            </w:pPr>
                            <w:r>
                              <w:rPr>
                                <w:sz w:val="20"/>
                                <w:szCs w:val="20"/>
                              </w:rPr>
                              <w:t>Human rights based orientation to development</w:t>
                            </w:r>
                          </w:p>
                          <w:p w14:paraId="730DF361" w14:textId="77777777" w:rsidR="00477F5B" w:rsidRPr="00B713DF" w:rsidRDefault="00477F5B" w:rsidP="0075650A">
                            <w:pPr>
                              <w:pStyle w:val="ListParagraph"/>
                              <w:numPr>
                                <w:ilvl w:val="0"/>
                                <w:numId w:val="6"/>
                              </w:numPr>
                              <w:rPr>
                                <w:sz w:val="20"/>
                                <w:szCs w:val="20"/>
                              </w:rPr>
                            </w:pPr>
                            <w:r w:rsidRPr="00B713DF">
                              <w:rPr>
                                <w:sz w:val="20"/>
                                <w:szCs w:val="20"/>
                              </w:rPr>
                              <w:t>Accountability for effective and quality service delivery</w:t>
                            </w:r>
                          </w:p>
                          <w:p w14:paraId="793ED48F" w14:textId="77777777" w:rsidR="00477F5B" w:rsidRDefault="00477F5B" w:rsidP="0075650A">
                            <w:pPr>
                              <w:pStyle w:val="ListParagraph"/>
                              <w:numPr>
                                <w:ilvl w:val="0"/>
                                <w:numId w:val="6"/>
                              </w:numPr>
                            </w:pPr>
                            <w:r w:rsidRPr="00B713DF">
                              <w:rPr>
                                <w:sz w:val="20"/>
                                <w:szCs w:val="20"/>
                              </w:rPr>
                              <w:t>Improved technical and institutional capacity at national and county levels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DE482" id="Rectangle 5" o:spid="_x0000_s1026" style="position:absolute;left:0;text-align:left;margin-left:3pt;margin-top:7.8pt;width:189.75pt;height:15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" fillcolor="#e7e6e6 [3203]" strokecolor="#70ad47 [3209]" strokeweight="1pt">
                <v:textbox>
                  <w:txbxContent>
                    <w:p w:rsidR="00477F5B" w:rsidRPr="00C57025" w:rsidRDefault="00477F5B" w:rsidP="00B713DF">
                      <w:pPr>
                        <w:rPr>
                          <w:b/>
                          <w:sz w:val="20"/>
                          <w:szCs w:val="20"/>
                        </w:rPr>
                      </w:pPr>
                      <w:r>
                        <w:rPr>
                          <w:b/>
                          <w:sz w:val="20"/>
                          <w:szCs w:val="20"/>
                        </w:rPr>
                        <w:t xml:space="preserve"> Objectives of the </w:t>
                      </w:r>
                      <w:r w:rsidRPr="00C57025">
                        <w:rPr>
                          <w:b/>
                          <w:sz w:val="20"/>
                          <w:szCs w:val="20"/>
                        </w:rPr>
                        <w:t xml:space="preserve">Devolution Policy </w:t>
                      </w:r>
                    </w:p>
                    <w:p w:rsidR="00477F5B" w:rsidRDefault="00477F5B" w:rsidP="0075650A">
                      <w:pPr>
                        <w:pStyle w:val="ListParagraph"/>
                        <w:numPr>
                          <w:ilvl w:val="0"/>
                          <w:numId w:val="6"/>
                        </w:numPr>
                        <w:rPr>
                          <w:sz w:val="20"/>
                          <w:szCs w:val="20"/>
                        </w:rPr>
                      </w:pPr>
                      <w:r w:rsidRPr="00B713DF">
                        <w:rPr>
                          <w:sz w:val="20"/>
                          <w:szCs w:val="20"/>
                        </w:rPr>
                        <w:t>Promote public participation</w:t>
                      </w:r>
                      <w:r>
                        <w:rPr>
                          <w:sz w:val="20"/>
                          <w:szCs w:val="20"/>
                        </w:rPr>
                        <w:t xml:space="preserve"> and citizen engagement</w:t>
                      </w:r>
                    </w:p>
                    <w:p w:rsidR="00477F5B" w:rsidRPr="00B713DF" w:rsidRDefault="00477F5B" w:rsidP="0075650A">
                      <w:pPr>
                        <w:pStyle w:val="ListParagraph"/>
                        <w:numPr>
                          <w:ilvl w:val="0"/>
                          <w:numId w:val="6"/>
                        </w:numPr>
                        <w:rPr>
                          <w:sz w:val="20"/>
                          <w:szCs w:val="20"/>
                        </w:rPr>
                      </w:pPr>
                      <w:r>
                        <w:rPr>
                          <w:sz w:val="20"/>
                          <w:szCs w:val="20"/>
                        </w:rPr>
                        <w:t>Human rights based orientation to development</w:t>
                      </w:r>
                    </w:p>
                    <w:p w:rsidR="00477F5B" w:rsidRPr="00B713DF" w:rsidRDefault="00477F5B" w:rsidP="0075650A">
                      <w:pPr>
                        <w:pStyle w:val="ListParagraph"/>
                        <w:numPr>
                          <w:ilvl w:val="0"/>
                          <w:numId w:val="6"/>
                        </w:numPr>
                        <w:rPr>
                          <w:sz w:val="20"/>
                          <w:szCs w:val="20"/>
                        </w:rPr>
                      </w:pPr>
                      <w:r w:rsidRPr="00B713DF">
                        <w:rPr>
                          <w:sz w:val="20"/>
                          <w:szCs w:val="20"/>
                        </w:rPr>
                        <w:t>Accountability for effective and quality service delivery</w:t>
                      </w:r>
                    </w:p>
                    <w:p w:rsidR="00477F5B" w:rsidRDefault="00477F5B" w:rsidP="0075650A">
                      <w:pPr>
                        <w:pStyle w:val="ListParagraph"/>
                        <w:numPr>
                          <w:ilvl w:val="0"/>
                          <w:numId w:val="6"/>
                        </w:numPr>
                      </w:pPr>
                      <w:r w:rsidRPr="00B713DF">
                        <w:rPr>
                          <w:sz w:val="20"/>
                          <w:szCs w:val="20"/>
                        </w:rPr>
                        <w:t>Improved technical and institutional capacity at national and county levels</w:t>
                      </w:r>
                    </w:p>
                  </w:txbxContent>
                </v:textbox>
                <w10:wrap type="through"/>
              </v:rect>
            </w:pict>
          </mc:Fallback>
        </mc:AlternateContent>
      </w:r>
      <w:r w:rsidR="007E663B">
        <w:rPr>
          <w:rFonts w:eastAsia="Batang" w:cs="Times New Roman"/>
          <w:sz w:val="24"/>
          <w:szCs w:val="24"/>
        </w:rPr>
        <w:t xml:space="preserve">The </w:t>
      </w:r>
      <w:proofErr w:type="spellStart"/>
      <w:r w:rsidR="000370F0" w:rsidRPr="00846B0F">
        <w:rPr>
          <w:rFonts w:eastAsia="Batang" w:cs="Times New Roman"/>
          <w:sz w:val="24"/>
          <w:szCs w:val="24"/>
        </w:rPr>
        <w:t>MoDP</w:t>
      </w:r>
      <w:proofErr w:type="spellEnd"/>
      <w:r w:rsidR="000370F0" w:rsidRPr="00846B0F">
        <w:rPr>
          <w:rFonts w:eastAsia="Batang" w:cs="Times New Roman"/>
          <w:sz w:val="24"/>
          <w:szCs w:val="24"/>
        </w:rPr>
        <w:t xml:space="preserve"> </w:t>
      </w:r>
      <w:r w:rsidR="00B0223F" w:rsidRPr="00846B0F">
        <w:rPr>
          <w:rFonts w:eastAsia="Batang" w:cs="Times New Roman"/>
          <w:sz w:val="24"/>
          <w:szCs w:val="24"/>
        </w:rPr>
        <w:t>developed</w:t>
      </w:r>
      <w:r w:rsidR="002E39FF" w:rsidRPr="00846B0F">
        <w:rPr>
          <w:rFonts w:eastAsia="Batang" w:cs="Times New Roman"/>
          <w:sz w:val="24"/>
          <w:szCs w:val="24"/>
        </w:rPr>
        <w:t xml:space="preserve"> </w:t>
      </w:r>
      <w:r w:rsidR="003C729B">
        <w:rPr>
          <w:rFonts w:eastAsia="Batang" w:cs="Times New Roman"/>
          <w:sz w:val="24"/>
          <w:szCs w:val="24"/>
        </w:rPr>
        <w:t>a</w:t>
      </w:r>
      <w:r w:rsidR="002E39FF" w:rsidRPr="00846B0F">
        <w:rPr>
          <w:rFonts w:eastAsia="Batang" w:cs="Times New Roman"/>
          <w:sz w:val="24"/>
          <w:szCs w:val="24"/>
        </w:rPr>
        <w:t xml:space="preserve"> </w:t>
      </w:r>
      <w:r w:rsidR="00B0223F" w:rsidRPr="00846B0F">
        <w:rPr>
          <w:rFonts w:eastAsia="Batang" w:cs="Times New Roman"/>
          <w:sz w:val="24"/>
          <w:szCs w:val="24"/>
        </w:rPr>
        <w:t>draft d</w:t>
      </w:r>
      <w:r w:rsidR="000370F0" w:rsidRPr="00846B0F">
        <w:rPr>
          <w:rFonts w:eastAsia="Batang" w:cs="Times New Roman"/>
          <w:sz w:val="24"/>
          <w:szCs w:val="24"/>
        </w:rPr>
        <w:t xml:space="preserve">evolution </w:t>
      </w:r>
      <w:r w:rsidR="00B0223F" w:rsidRPr="00846B0F">
        <w:rPr>
          <w:rFonts w:eastAsia="Batang" w:cs="Times New Roman"/>
          <w:sz w:val="24"/>
          <w:szCs w:val="24"/>
        </w:rPr>
        <w:t>p</w:t>
      </w:r>
      <w:r w:rsidR="00CF7615" w:rsidRPr="00846B0F">
        <w:rPr>
          <w:rFonts w:eastAsia="Batang" w:cs="Times New Roman"/>
          <w:sz w:val="24"/>
          <w:szCs w:val="24"/>
        </w:rPr>
        <w:t>olicy</w:t>
      </w:r>
      <w:r w:rsidR="00C30B0B" w:rsidRPr="00846B0F">
        <w:rPr>
          <w:rFonts w:eastAsia="Batang" w:cs="Times New Roman"/>
          <w:sz w:val="24"/>
          <w:szCs w:val="24"/>
        </w:rPr>
        <w:t xml:space="preserve"> </w:t>
      </w:r>
      <w:r w:rsidR="009E454A" w:rsidRPr="00846B0F">
        <w:rPr>
          <w:rFonts w:eastAsia="Batang" w:cs="Times New Roman"/>
          <w:sz w:val="24"/>
          <w:szCs w:val="24"/>
        </w:rPr>
        <w:t xml:space="preserve">which is now ready to be submitted to Cabinet for approval. </w:t>
      </w:r>
      <w:r w:rsidR="009954AB" w:rsidRPr="00846B0F">
        <w:rPr>
          <w:rFonts w:eastAsia="Batang" w:cs="Times New Roman"/>
          <w:sz w:val="24"/>
          <w:szCs w:val="24"/>
        </w:rPr>
        <w:t xml:space="preserve">The </w:t>
      </w:r>
      <w:r w:rsidR="009954AB" w:rsidRPr="00846B0F">
        <w:rPr>
          <w:rFonts w:cs="Times New Roman"/>
          <w:sz w:val="24"/>
          <w:szCs w:val="24"/>
        </w:rPr>
        <w:t>overall goal of the policy is to promote involvement and public participation in decision making, strengthen accountability and effectiveness in the delivery of public service</w:t>
      </w:r>
      <w:r w:rsidR="003323C7" w:rsidRPr="00846B0F">
        <w:rPr>
          <w:rFonts w:cs="Times New Roman"/>
          <w:sz w:val="24"/>
          <w:szCs w:val="24"/>
        </w:rPr>
        <w:t>s</w:t>
      </w:r>
      <w:r w:rsidR="009954AB" w:rsidRPr="00846B0F">
        <w:rPr>
          <w:rFonts w:cs="Times New Roman"/>
          <w:sz w:val="24"/>
          <w:szCs w:val="24"/>
        </w:rPr>
        <w:t>, and enhance the capacity of all levels of government to deliver on their mandate. Specifically, the policy will</w:t>
      </w:r>
      <w:r w:rsidR="003C729B">
        <w:rPr>
          <w:rFonts w:cs="Times New Roman"/>
          <w:sz w:val="24"/>
          <w:szCs w:val="24"/>
        </w:rPr>
        <w:t>:</w:t>
      </w:r>
      <w:r w:rsidR="009954AB" w:rsidRPr="00846B0F">
        <w:rPr>
          <w:rFonts w:cs="Times New Roman"/>
          <w:sz w:val="24"/>
          <w:szCs w:val="24"/>
        </w:rPr>
        <w:t xml:space="preserve"> clarify the status, roles and relationships between the two levels of government and the different actors; strengthen the participation and contribution of non-state actors in governance; enable quality public service delivery; promote public participation and citizen engagement in governance; encourage a rights–based orientation to development at all levels.</w:t>
      </w:r>
      <w:r w:rsidR="00C30B0B" w:rsidRPr="00846B0F">
        <w:rPr>
          <w:rFonts w:cs="Times New Roman"/>
          <w:sz w:val="24"/>
          <w:szCs w:val="24"/>
        </w:rPr>
        <w:t xml:space="preserve"> </w:t>
      </w:r>
      <w:r w:rsidR="00C30B0B" w:rsidRPr="00846B0F">
        <w:rPr>
          <w:rFonts w:cs="Times New Roman"/>
          <w:bCs/>
          <w:sz w:val="24"/>
          <w:szCs w:val="24"/>
        </w:rPr>
        <w:t xml:space="preserve">The final policy </w:t>
      </w:r>
      <w:r w:rsidR="003323C7" w:rsidRPr="00846B0F">
        <w:rPr>
          <w:rFonts w:cs="Times New Roman"/>
          <w:bCs/>
          <w:sz w:val="24"/>
          <w:szCs w:val="24"/>
        </w:rPr>
        <w:t xml:space="preserve">is expected to </w:t>
      </w:r>
      <w:r w:rsidR="00C30B0B" w:rsidRPr="00846B0F">
        <w:rPr>
          <w:rFonts w:cs="Times New Roman"/>
          <w:bCs/>
          <w:sz w:val="24"/>
          <w:szCs w:val="24"/>
        </w:rPr>
        <w:t xml:space="preserve">be submitted to </w:t>
      </w:r>
      <w:r w:rsidR="003C729B">
        <w:rPr>
          <w:rFonts w:cs="Times New Roman"/>
          <w:bCs/>
          <w:sz w:val="24"/>
          <w:szCs w:val="24"/>
        </w:rPr>
        <w:t>C</w:t>
      </w:r>
      <w:r w:rsidR="00C30B0B" w:rsidRPr="00846B0F">
        <w:rPr>
          <w:rFonts w:cs="Times New Roman"/>
          <w:bCs/>
          <w:sz w:val="24"/>
          <w:szCs w:val="24"/>
        </w:rPr>
        <w:t xml:space="preserve">abinet for approval in </w:t>
      </w:r>
      <w:r w:rsidR="003323C7" w:rsidRPr="00846B0F">
        <w:rPr>
          <w:rFonts w:cs="Times New Roman"/>
          <w:bCs/>
          <w:sz w:val="24"/>
          <w:szCs w:val="24"/>
        </w:rPr>
        <w:t xml:space="preserve">the second quarter of </w:t>
      </w:r>
      <w:r w:rsidR="00C30B0B" w:rsidRPr="00846B0F">
        <w:rPr>
          <w:rFonts w:cs="Times New Roman"/>
          <w:bCs/>
          <w:sz w:val="24"/>
          <w:szCs w:val="24"/>
        </w:rPr>
        <w:t>2016.</w:t>
      </w:r>
    </w:p>
    <w:p w14:paraId="6CC98114" w14:textId="77777777" w:rsidR="00856C21" w:rsidRPr="00846B0F" w:rsidRDefault="00856C21" w:rsidP="00363730">
      <w:pPr>
        <w:spacing w:after="0" w:line="276" w:lineRule="auto"/>
        <w:jc w:val="both"/>
        <w:rPr>
          <w:rFonts w:eastAsia="Batang" w:cs="Times New Roman"/>
          <w:sz w:val="24"/>
          <w:szCs w:val="24"/>
        </w:rPr>
      </w:pPr>
    </w:p>
    <w:p w14:paraId="0969D80D" w14:textId="3272445A" w:rsidR="00655D41" w:rsidRPr="00846B0F" w:rsidRDefault="00C559C4" w:rsidP="00655D41">
      <w:pPr>
        <w:spacing w:after="0" w:line="276" w:lineRule="auto"/>
        <w:jc w:val="both"/>
        <w:rPr>
          <w:rFonts w:cs="Times New Roman"/>
          <w:bCs/>
          <w:sz w:val="24"/>
          <w:szCs w:val="24"/>
        </w:rPr>
      </w:pPr>
      <w:r w:rsidRPr="00846B0F">
        <w:rPr>
          <w:rFonts w:eastAsia="Batang" w:cs="Times New Roman"/>
          <w:sz w:val="24"/>
          <w:szCs w:val="24"/>
        </w:rPr>
        <w:lastRenderedPageBreak/>
        <w:t>Six counties (</w:t>
      </w:r>
      <w:proofErr w:type="spellStart"/>
      <w:r w:rsidR="00655D41" w:rsidRPr="00846B0F">
        <w:rPr>
          <w:rFonts w:eastAsia="Batang" w:cs="Times New Roman"/>
          <w:sz w:val="24"/>
          <w:szCs w:val="24"/>
        </w:rPr>
        <w:t>Kirinyaga</w:t>
      </w:r>
      <w:proofErr w:type="spellEnd"/>
      <w:r w:rsidR="00655D41" w:rsidRPr="00846B0F">
        <w:rPr>
          <w:rFonts w:eastAsia="Batang" w:cs="Times New Roman"/>
          <w:sz w:val="24"/>
          <w:szCs w:val="24"/>
        </w:rPr>
        <w:t xml:space="preserve">, </w:t>
      </w:r>
      <w:proofErr w:type="spellStart"/>
      <w:r w:rsidR="00655D41" w:rsidRPr="00846B0F">
        <w:rPr>
          <w:rFonts w:eastAsia="Batang" w:cs="Times New Roman"/>
          <w:sz w:val="24"/>
          <w:szCs w:val="24"/>
        </w:rPr>
        <w:t>Kiambu</w:t>
      </w:r>
      <w:proofErr w:type="spellEnd"/>
      <w:r w:rsidR="00655D41" w:rsidRPr="00846B0F">
        <w:rPr>
          <w:rFonts w:eastAsia="Batang" w:cs="Times New Roman"/>
          <w:sz w:val="24"/>
          <w:szCs w:val="24"/>
        </w:rPr>
        <w:t xml:space="preserve">, </w:t>
      </w:r>
      <w:proofErr w:type="spellStart"/>
      <w:r w:rsidR="00655D41" w:rsidRPr="00846B0F">
        <w:rPr>
          <w:rFonts w:eastAsia="Batang" w:cs="Times New Roman"/>
          <w:sz w:val="24"/>
          <w:szCs w:val="24"/>
        </w:rPr>
        <w:t>Makueni</w:t>
      </w:r>
      <w:proofErr w:type="spellEnd"/>
      <w:r w:rsidR="00655D41" w:rsidRPr="00846B0F">
        <w:rPr>
          <w:rFonts w:eastAsia="Batang" w:cs="Times New Roman"/>
          <w:sz w:val="24"/>
          <w:szCs w:val="24"/>
        </w:rPr>
        <w:t xml:space="preserve">, </w:t>
      </w:r>
      <w:proofErr w:type="spellStart"/>
      <w:r w:rsidR="00655D41" w:rsidRPr="00846B0F">
        <w:rPr>
          <w:rFonts w:eastAsia="Batang" w:cs="Times New Roman"/>
          <w:sz w:val="24"/>
          <w:szCs w:val="24"/>
        </w:rPr>
        <w:t>Nyamira</w:t>
      </w:r>
      <w:proofErr w:type="spellEnd"/>
      <w:r w:rsidR="00655D41" w:rsidRPr="00846B0F">
        <w:rPr>
          <w:rFonts w:eastAsia="Batang" w:cs="Times New Roman"/>
          <w:sz w:val="24"/>
          <w:szCs w:val="24"/>
        </w:rPr>
        <w:t xml:space="preserve">, </w:t>
      </w:r>
      <w:proofErr w:type="spellStart"/>
      <w:r w:rsidR="00655D41" w:rsidRPr="00846B0F">
        <w:rPr>
          <w:rFonts w:eastAsia="Batang" w:cs="Times New Roman"/>
          <w:sz w:val="24"/>
          <w:szCs w:val="24"/>
        </w:rPr>
        <w:t>Kakamega</w:t>
      </w:r>
      <w:proofErr w:type="spellEnd"/>
      <w:r w:rsidR="00655D41" w:rsidRPr="00846B0F">
        <w:rPr>
          <w:rFonts w:eastAsia="Batang" w:cs="Times New Roman"/>
          <w:sz w:val="24"/>
          <w:szCs w:val="24"/>
        </w:rPr>
        <w:t xml:space="preserve"> and Kilifi</w:t>
      </w:r>
      <w:r w:rsidRPr="00846B0F">
        <w:rPr>
          <w:rFonts w:eastAsia="Batang" w:cs="Times New Roman"/>
          <w:sz w:val="24"/>
          <w:szCs w:val="24"/>
        </w:rPr>
        <w:t xml:space="preserve">) improved their legislative drafting capacities </w:t>
      </w:r>
      <w:r w:rsidR="00655D41" w:rsidRPr="00846B0F">
        <w:rPr>
          <w:rFonts w:eastAsia="Batang" w:cs="Times New Roman"/>
          <w:sz w:val="24"/>
          <w:szCs w:val="24"/>
        </w:rPr>
        <w:t xml:space="preserve">counties received one week legislative drafting and policy formulation support through </w:t>
      </w:r>
      <w:r w:rsidR="006A7927">
        <w:rPr>
          <w:rFonts w:eastAsia="Batang" w:cs="Times New Roman"/>
          <w:sz w:val="24"/>
          <w:szCs w:val="24"/>
        </w:rPr>
        <w:t>technical assistance</w:t>
      </w:r>
      <w:r w:rsidR="006A7927" w:rsidRPr="00846B0F">
        <w:rPr>
          <w:rFonts w:eastAsia="Batang" w:cs="Times New Roman"/>
          <w:sz w:val="24"/>
          <w:szCs w:val="24"/>
        </w:rPr>
        <w:t xml:space="preserve"> </w:t>
      </w:r>
      <w:r w:rsidR="006A7927">
        <w:rPr>
          <w:rFonts w:eastAsia="Batang" w:cs="Times New Roman"/>
          <w:sz w:val="24"/>
          <w:szCs w:val="24"/>
        </w:rPr>
        <w:t xml:space="preserve">(legislative drafters) </w:t>
      </w:r>
      <w:r w:rsidR="00655D41" w:rsidRPr="00846B0F">
        <w:rPr>
          <w:rFonts w:eastAsia="Batang" w:cs="Times New Roman"/>
          <w:sz w:val="24"/>
          <w:szCs w:val="24"/>
        </w:rPr>
        <w:t xml:space="preserve">placed at </w:t>
      </w:r>
      <w:proofErr w:type="spellStart"/>
      <w:r w:rsidR="00655D41" w:rsidRPr="00846B0F">
        <w:rPr>
          <w:rFonts w:eastAsia="Batang" w:cs="Times New Roman"/>
          <w:sz w:val="24"/>
          <w:szCs w:val="24"/>
        </w:rPr>
        <w:t>CoG</w:t>
      </w:r>
      <w:proofErr w:type="spellEnd"/>
      <w:r w:rsidR="00655D41" w:rsidRPr="00846B0F">
        <w:rPr>
          <w:rFonts w:eastAsia="Batang" w:cs="Times New Roman"/>
          <w:sz w:val="24"/>
          <w:szCs w:val="24"/>
        </w:rPr>
        <w:t xml:space="preserve"> in 2015. </w:t>
      </w:r>
      <w:r w:rsidR="006D3318" w:rsidRPr="00846B0F">
        <w:rPr>
          <w:rFonts w:eastAsia="Batang" w:cs="Times New Roman"/>
          <w:sz w:val="24"/>
          <w:szCs w:val="24"/>
        </w:rPr>
        <w:t xml:space="preserve">There is also </w:t>
      </w:r>
      <w:r w:rsidR="006D3318" w:rsidRPr="00846B0F">
        <w:rPr>
          <w:rFonts w:cs="Times New Roman"/>
          <w:bCs/>
          <w:sz w:val="24"/>
          <w:szCs w:val="24"/>
        </w:rPr>
        <w:t xml:space="preserve">improved policies, laws and institutional reforms for the effective implementation of the constitution at national and county levels through </w:t>
      </w:r>
      <w:r w:rsidR="00856C21" w:rsidRPr="00846B0F">
        <w:rPr>
          <w:rFonts w:cs="Times New Roman"/>
          <w:bCs/>
          <w:sz w:val="24"/>
          <w:szCs w:val="24"/>
        </w:rPr>
        <w:t xml:space="preserve">14 </w:t>
      </w:r>
      <w:r w:rsidR="006D3318" w:rsidRPr="00846B0F">
        <w:rPr>
          <w:rFonts w:cs="Times New Roman"/>
          <w:bCs/>
          <w:sz w:val="24"/>
          <w:szCs w:val="24"/>
        </w:rPr>
        <w:t xml:space="preserve">model </w:t>
      </w:r>
      <w:r w:rsidR="00856C21" w:rsidRPr="00846B0F">
        <w:rPr>
          <w:rFonts w:cs="Times New Roman"/>
          <w:bCs/>
          <w:sz w:val="24"/>
          <w:szCs w:val="24"/>
        </w:rPr>
        <w:t xml:space="preserve">legislations </w:t>
      </w:r>
      <w:r w:rsidR="006D3318" w:rsidRPr="00846B0F">
        <w:rPr>
          <w:rFonts w:cs="Times New Roman"/>
          <w:bCs/>
          <w:sz w:val="24"/>
          <w:szCs w:val="24"/>
        </w:rPr>
        <w:t>that were developed for</w:t>
      </w:r>
      <w:r w:rsidR="00856C21" w:rsidRPr="00846B0F">
        <w:rPr>
          <w:rFonts w:cs="Times New Roman"/>
          <w:bCs/>
          <w:sz w:val="24"/>
          <w:szCs w:val="24"/>
        </w:rPr>
        <w:t xml:space="preserve"> </w:t>
      </w:r>
      <w:r w:rsidR="0083657A" w:rsidRPr="00846B0F">
        <w:rPr>
          <w:rFonts w:cs="Times New Roman"/>
          <w:bCs/>
          <w:sz w:val="24"/>
          <w:szCs w:val="24"/>
        </w:rPr>
        <w:t>c</w:t>
      </w:r>
      <w:r w:rsidR="00856C21" w:rsidRPr="00846B0F">
        <w:rPr>
          <w:rFonts w:cs="Times New Roman"/>
          <w:bCs/>
          <w:sz w:val="24"/>
          <w:szCs w:val="24"/>
        </w:rPr>
        <w:t xml:space="preserve">ounty </w:t>
      </w:r>
      <w:r w:rsidR="00DC5EC8" w:rsidRPr="00846B0F">
        <w:rPr>
          <w:rFonts w:cs="Times New Roman"/>
          <w:bCs/>
          <w:sz w:val="24"/>
          <w:szCs w:val="24"/>
        </w:rPr>
        <w:t>g</w:t>
      </w:r>
      <w:r w:rsidR="00856C21" w:rsidRPr="00846B0F">
        <w:rPr>
          <w:rFonts w:cs="Times New Roman"/>
          <w:bCs/>
          <w:sz w:val="24"/>
          <w:szCs w:val="24"/>
        </w:rPr>
        <w:t xml:space="preserve">overnments </w:t>
      </w:r>
      <w:r w:rsidR="006D3318" w:rsidRPr="00846B0F">
        <w:rPr>
          <w:rFonts w:cs="Times New Roman"/>
          <w:bCs/>
          <w:sz w:val="24"/>
          <w:szCs w:val="24"/>
        </w:rPr>
        <w:t xml:space="preserve">and technical support to the </w:t>
      </w:r>
      <w:r w:rsidR="00856C21" w:rsidRPr="00846B0F">
        <w:rPr>
          <w:rFonts w:cs="Times New Roman"/>
          <w:bCs/>
          <w:sz w:val="24"/>
          <w:szCs w:val="24"/>
        </w:rPr>
        <w:t>47 fully fledged County Attorney offices</w:t>
      </w:r>
      <w:r w:rsidR="006D3318" w:rsidRPr="00846B0F">
        <w:rPr>
          <w:rFonts w:cs="Times New Roman"/>
          <w:bCs/>
          <w:sz w:val="24"/>
          <w:szCs w:val="24"/>
        </w:rPr>
        <w:t>.</w:t>
      </w:r>
      <w:r w:rsidR="00655D41" w:rsidRPr="00846B0F">
        <w:rPr>
          <w:rFonts w:cs="Times New Roman"/>
          <w:bCs/>
          <w:sz w:val="24"/>
          <w:szCs w:val="24"/>
        </w:rPr>
        <w:t xml:space="preserve"> </w:t>
      </w:r>
      <w:r w:rsidR="00E07CAC">
        <w:rPr>
          <w:rFonts w:cs="Times New Roman"/>
          <w:bCs/>
          <w:sz w:val="24"/>
          <w:szCs w:val="24"/>
        </w:rPr>
        <w:t xml:space="preserve">The </w:t>
      </w:r>
      <w:r w:rsidR="007E663B">
        <w:rPr>
          <w:rFonts w:cs="Times New Roman"/>
          <w:bCs/>
          <w:sz w:val="24"/>
          <w:szCs w:val="24"/>
        </w:rPr>
        <w:t>Norway support</w:t>
      </w:r>
      <w:r w:rsidR="00E07CAC">
        <w:rPr>
          <w:rFonts w:cs="Times New Roman"/>
          <w:bCs/>
          <w:sz w:val="24"/>
          <w:szCs w:val="24"/>
        </w:rPr>
        <w:t xml:space="preserve"> assisted </w:t>
      </w:r>
      <w:r w:rsidR="007E663B">
        <w:rPr>
          <w:rFonts w:cs="Times New Roman"/>
          <w:bCs/>
          <w:sz w:val="24"/>
          <w:szCs w:val="24"/>
        </w:rPr>
        <w:t>t</w:t>
      </w:r>
      <w:r w:rsidR="00655D41" w:rsidRPr="00846B0F">
        <w:rPr>
          <w:rFonts w:cs="Times New Roman"/>
          <w:bCs/>
          <w:sz w:val="24"/>
          <w:szCs w:val="24"/>
        </w:rPr>
        <w:t xml:space="preserve">he </w:t>
      </w:r>
      <w:proofErr w:type="spellStart"/>
      <w:r w:rsidR="00655D41" w:rsidRPr="00846B0F">
        <w:rPr>
          <w:rFonts w:cs="Times New Roman"/>
          <w:bCs/>
          <w:sz w:val="24"/>
          <w:szCs w:val="24"/>
        </w:rPr>
        <w:t>CoG</w:t>
      </w:r>
      <w:proofErr w:type="spellEnd"/>
      <w:r w:rsidR="00655D41" w:rsidRPr="00846B0F">
        <w:rPr>
          <w:rFonts w:cs="Times New Roman"/>
          <w:bCs/>
          <w:sz w:val="24"/>
          <w:szCs w:val="24"/>
        </w:rPr>
        <w:t xml:space="preserve"> </w:t>
      </w:r>
      <w:r w:rsidR="00E07CAC">
        <w:rPr>
          <w:rFonts w:cs="Times New Roman"/>
          <w:bCs/>
          <w:sz w:val="24"/>
          <w:szCs w:val="24"/>
        </w:rPr>
        <w:t>to</w:t>
      </w:r>
      <w:r w:rsidR="00E07CAC" w:rsidRPr="00846B0F">
        <w:rPr>
          <w:rFonts w:cs="Times New Roman"/>
          <w:bCs/>
          <w:sz w:val="24"/>
          <w:szCs w:val="24"/>
        </w:rPr>
        <w:t xml:space="preserve"> </w:t>
      </w:r>
      <w:r w:rsidR="00655D41" w:rsidRPr="00846B0F">
        <w:rPr>
          <w:rFonts w:cs="Times New Roman"/>
          <w:bCs/>
          <w:sz w:val="24"/>
          <w:szCs w:val="24"/>
        </w:rPr>
        <w:t>collaborat</w:t>
      </w:r>
      <w:r w:rsidR="00E07CAC">
        <w:rPr>
          <w:rFonts w:cs="Times New Roman"/>
          <w:bCs/>
          <w:sz w:val="24"/>
          <w:szCs w:val="24"/>
        </w:rPr>
        <w:t>e</w:t>
      </w:r>
      <w:r w:rsidR="00655D41" w:rsidRPr="00846B0F">
        <w:rPr>
          <w:rFonts w:cs="Times New Roman"/>
          <w:bCs/>
          <w:sz w:val="24"/>
          <w:szCs w:val="24"/>
        </w:rPr>
        <w:t xml:space="preserve"> with the National Council on Law Reporting </w:t>
      </w:r>
      <w:r w:rsidR="00E07CAC">
        <w:rPr>
          <w:rFonts w:cs="Times New Roman"/>
          <w:bCs/>
          <w:sz w:val="24"/>
          <w:szCs w:val="24"/>
        </w:rPr>
        <w:t xml:space="preserve">to </w:t>
      </w:r>
      <w:r w:rsidR="00655D41" w:rsidRPr="00846B0F">
        <w:rPr>
          <w:rFonts w:cs="Times New Roman"/>
          <w:bCs/>
          <w:sz w:val="24"/>
          <w:szCs w:val="24"/>
        </w:rPr>
        <w:t>develop and launch the Devolution Law Report and a Case Digest of Devolution Matters (2010-2015). The reports provide knowledge database for benchmarking and cross exchange learning on the judgement of cases done since inception of devolution. The reports also present a strong case on the need for an Alternative Dispute Resolution Mechanisms. The publications draw comparative lessons from commonwealth jurisdictions along seven key thematic areas: Public Service</w:t>
      </w:r>
      <w:r w:rsidR="003C729B">
        <w:rPr>
          <w:rFonts w:cs="Times New Roman"/>
          <w:bCs/>
          <w:sz w:val="24"/>
          <w:szCs w:val="24"/>
        </w:rPr>
        <w:t>;</w:t>
      </w:r>
      <w:r w:rsidR="00655D41" w:rsidRPr="00846B0F">
        <w:rPr>
          <w:rFonts w:cs="Times New Roman"/>
          <w:bCs/>
          <w:sz w:val="24"/>
          <w:szCs w:val="24"/>
        </w:rPr>
        <w:t xml:space="preserve"> Public Finance Management</w:t>
      </w:r>
      <w:r w:rsidR="005A69B2">
        <w:rPr>
          <w:rFonts w:cs="Times New Roman"/>
          <w:bCs/>
          <w:sz w:val="24"/>
          <w:szCs w:val="24"/>
        </w:rPr>
        <w:t>;</w:t>
      </w:r>
      <w:r w:rsidR="00655D41" w:rsidRPr="00846B0F">
        <w:rPr>
          <w:rFonts w:cs="Times New Roman"/>
          <w:bCs/>
          <w:sz w:val="24"/>
          <w:szCs w:val="24"/>
        </w:rPr>
        <w:t xml:space="preserve"> Equity and Inclusivity</w:t>
      </w:r>
      <w:r w:rsidR="005A69B2">
        <w:rPr>
          <w:rFonts w:cs="Times New Roman"/>
          <w:bCs/>
          <w:sz w:val="24"/>
          <w:szCs w:val="24"/>
        </w:rPr>
        <w:t>;</w:t>
      </w:r>
      <w:r w:rsidR="00655D41" w:rsidRPr="00846B0F">
        <w:rPr>
          <w:rFonts w:cs="Times New Roman"/>
          <w:bCs/>
          <w:sz w:val="24"/>
          <w:szCs w:val="24"/>
        </w:rPr>
        <w:t xml:space="preserve"> Removal from Office and Suspension of County Governments</w:t>
      </w:r>
      <w:r w:rsidR="005A69B2">
        <w:rPr>
          <w:rFonts w:cs="Times New Roman"/>
          <w:bCs/>
          <w:sz w:val="24"/>
          <w:szCs w:val="24"/>
        </w:rPr>
        <w:t>;</w:t>
      </w:r>
      <w:r w:rsidR="00655D41" w:rsidRPr="00846B0F">
        <w:rPr>
          <w:rFonts w:cs="Times New Roman"/>
          <w:bCs/>
          <w:sz w:val="24"/>
          <w:szCs w:val="24"/>
        </w:rPr>
        <w:t xml:space="preserve"> Transition to Devolved Government and Transfer of Powers </w:t>
      </w:r>
      <w:r w:rsidR="00FB4FF0">
        <w:rPr>
          <w:rFonts w:cs="Times New Roman"/>
          <w:bCs/>
          <w:sz w:val="24"/>
          <w:szCs w:val="24"/>
        </w:rPr>
        <w:t>and</w:t>
      </w:r>
      <w:r w:rsidR="00655D41" w:rsidRPr="00846B0F">
        <w:rPr>
          <w:rFonts w:cs="Times New Roman"/>
          <w:bCs/>
          <w:sz w:val="24"/>
          <w:szCs w:val="24"/>
        </w:rPr>
        <w:t xml:space="preserve"> Functions</w:t>
      </w:r>
      <w:r w:rsidR="005A69B2">
        <w:rPr>
          <w:rFonts w:cs="Times New Roman"/>
          <w:bCs/>
          <w:sz w:val="24"/>
          <w:szCs w:val="24"/>
        </w:rPr>
        <w:t>;</w:t>
      </w:r>
      <w:r w:rsidR="00655D41" w:rsidRPr="00846B0F">
        <w:rPr>
          <w:rFonts w:cs="Times New Roman"/>
          <w:bCs/>
          <w:sz w:val="24"/>
          <w:szCs w:val="24"/>
        </w:rPr>
        <w:t xml:space="preserve"> Public Participation and Citizen Engagement; Intergovernmental Relations. The purpose of these publications is to serve as an introduction to key court judgments related to devolution and particularly, the Case Digest aims to provide easy to understand information on judicial precedence on the devolved system of governance and its attendant laws, policies, administrative and political actions.</w:t>
      </w:r>
    </w:p>
    <w:p w14:paraId="3C9220E5" w14:textId="77777777" w:rsidR="0058487D" w:rsidRPr="00846B0F" w:rsidRDefault="0058487D" w:rsidP="00363730">
      <w:pPr>
        <w:spacing w:after="0" w:line="276" w:lineRule="auto"/>
        <w:jc w:val="both"/>
        <w:rPr>
          <w:rFonts w:eastAsia="Batang" w:cs="Times New Roman"/>
          <w:sz w:val="24"/>
          <w:szCs w:val="24"/>
        </w:rPr>
      </w:pPr>
    </w:p>
    <w:p w14:paraId="4D04D78B" w14:textId="20AAA75F" w:rsidR="00127311" w:rsidRPr="00846B0F" w:rsidRDefault="00396865" w:rsidP="007B7764">
      <w:pPr>
        <w:spacing w:after="0" w:line="276" w:lineRule="auto"/>
        <w:jc w:val="both"/>
        <w:rPr>
          <w:rFonts w:eastAsia="Batang" w:cs="Times New Roman"/>
          <w:sz w:val="24"/>
          <w:szCs w:val="24"/>
        </w:rPr>
      </w:pPr>
      <w:r w:rsidRPr="00846B0F">
        <w:rPr>
          <w:rFonts w:eastAsia="Batang" w:cs="Times New Roman"/>
          <w:sz w:val="24"/>
          <w:szCs w:val="24"/>
        </w:rPr>
        <w:lastRenderedPageBreak/>
        <w:t xml:space="preserve">The Senate </w:t>
      </w:r>
      <w:r w:rsidR="006D3318" w:rsidRPr="00846B0F">
        <w:rPr>
          <w:rFonts w:eastAsia="Batang" w:cs="Times New Roman"/>
          <w:sz w:val="24"/>
          <w:szCs w:val="24"/>
        </w:rPr>
        <w:t xml:space="preserve">reviewed the </w:t>
      </w:r>
      <w:r w:rsidRPr="00846B0F">
        <w:rPr>
          <w:rFonts w:eastAsia="Batang" w:cs="Times New Roman"/>
          <w:sz w:val="24"/>
          <w:szCs w:val="24"/>
        </w:rPr>
        <w:t xml:space="preserve">progress made </w:t>
      </w:r>
      <w:r w:rsidR="00C30B0B" w:rsidRPr="00846B0F">
        <w:rPr>
          <w:rFonts w:eastAsia="Batang" w:cs="Times New Roman"/>
          <w:sz w:val="24"/>
          <w:szCs w:val="24"/>
        </w:rPr>
        <w:t>by</w:t>
      </w:r>
      <w:r w:rsidRPr="00846B0F">
        <w:rPr>
          <w:rFonts w:eastAsia="Batang" w:cs="Times New Roman"/>
          <w:sz w:val="24"/>
          <w:szCs w:val="24"/>
        </w:rPr>
        <w:t xml:space="preserve"> the TA on the transition to devolved governance. </w:t>
      </w:r>
      <w:r w:rsidR="0058487D" w:rsidRPr="00846B0F">
        <w:rPr>
          <w:rFonts w:eastAsia="Batang" w:cs="Times New Roman"/>
          <w:sz w:val="24"/>
          <w:szCs w:val="24"/>
        </w:rPr>
        <w:t xml:space="preserve">The </w:t>
      </w:r>
      <w:r w:rsidR="00DC5EC8" w:rsidRPr="00846B0F">
        <w:rPr>
          <w:rFonts w:eastAsia="Batang" w:cs="Times New Roman"/>
          <w:sz w:val="24"/>
          <w:szCs w:val="24"/>
        </w:rPr>
        <w:t xml:space="preserve">TA </w:t>
      </w:r>
      <w:r w:rsidR="00C30B0B" w:rsidRPr="00846B0F">
        <w:rPr>
          <w:rFonts w:eastAsia="Batang" w:cs="Times New Roman"/>
          <w:sz w:val="24"/>
          <w:szCs w:val="24"/>
        </w:rPr>
        <w:t>enlightened the</w:t>
      </w:r>
      <w:r w:rsidR="0058487D" w:rsidRPr="00846B0F">
        <w:rPr>
          <w:rFonts w:eastAsia="Batang" w:cs="Times New Roman"/>
          <w:sz w:val="24"/>
          <w:szCs w:val="24"/>
        </w:rPr>
        <w:t xml:space="preserve"> Senators on the status of implementation of devolution in Kenya, the achievements of the </w:t>
      </w:r>
      <w:r w:rsidR="00DC5EC8" w:rsidRPr="00846B0F">
        <w:rPr>
          <w:rFonts w:eastAsia="Batang" w:cs="Times New Roman"/>
          <w:sz w:val="24"/>
          <w:szCs w:val="24"/>
        </w:rPr>
        <w:t>TA</w:t>
      </w:r>
      <w:r w:rsidR="0058487D" w:rsidRPr="00846B0F">
        <w:rPr>
          <w:rFonts w:eastAsia="Batang" w:cs="Times New Roman"/>
          <w:sz w:val="24"/>
          <w:szCs w:val="24"/>
        </w:rPr>
        <w:t>, the challenges of devolution and the pending work of t</w:t>
      </w:r>
      <w:r w:rsidR="006114AE" w:rsidRPr="00846B0F">
        <w:rPr>
          <w:rFonts w:eastAsia="Batang" w:cs="Times New Roman"/>
          <w:sz w:val="24"/>
          <w:szCs w:val="24"/>
        </w:rPr>
        <w:t>he Authority as per its mandate</w:t>
      </w:r>
      <w:r w:rsidR="0058487D" w:rsidRPr="00846B0F">
        <w:rPr>
          <w:rFonts w:eastAsia="Batang" w:cs="Times New Roman"/>
          <w:sz w:val="24"/>
          <w:szCs w:val="24"/>
        </w:rPr>
        <w:t xml:space="preserve">. </w:t>
      </w:r>
      <w:r w:rsidR="00127311" w:rsidRPr="00846B0F">
        <w:rPr>
          <w:rFonts w:eastAsia="Batang" w:cs="Times New Roman"/>
          <w:sz w:val="24"/>
          <w:szCs w:val="24"/>
        </w:rPr>
        <w:t>The forum discussed emerging challenges facing the implementation of devolution</w:t>
      </w:r>
      <w:r w:rsidR="00D4037F" w:rsidRPr="00846B0F">
        <w:rPr>
          <w:rFonts w:eastAsia="Batang" w:cs="Times New Roman"/>
          <w:sz w:val="24"/>
          <w:szCs w:val="24"/>
        </w:rPr>
        <w:t xml:space="preserve"> and how to </w:t>
      </w:r>
      <w:r w:rsidR="00127311" w:rsidRPr="00846B0F">
        <w:rPr>
          <w:rFonts w:eastAsia="Batang" w:cs="Times New Roman"/>
          <w:sz w:val="24"/>
          <w:szCs w:val="24"/>
        </w:rPr>
        <w:t>strengthen institutions mandated to protect devolution to enable them address these challenges</w:t>
      </w:r>
      <w:r w:rsidR="00C30B0B" w:rsidRPr="00846B0F">
        <w:rPr>
          <w:rFonts w:eastAsia="Batang" w:cs="Times New Roman"/>
          <w:sz w:val="24"/>
          <w:szCs w:val="24"/>
        </w:rPr>
        <w:t xml:space="preserve"> through Senate forums</w:t>
      </w:r>
      <w:r w:rsidR="00127311" w:rsidRPr="00846B0F">
        <w:rPr>
          <w:rFonts w:eastAsia="Batang" w:cs="Times New Roman"/>
          <w:sz w:val="24"/>
          <w:szCs w:val="24"/>
        </w:rPr>
        <w:t xml:space="preserve">. </w:t>
      </w:r>
      <w:r w:rsidR="00D4037F" w:rsidRPr="00846B0F">
        <w:rPr>
          <w:rFonts w:eastAsia="Batang" w:cs="Times New Roman"/>
          <w:sz w:val="24"/>
          <w:szCs w:val="24"/>
        </w:rPr>
        <w:t>The forum agreed to</w:t>
      </w:r>
      <w:r w:rsidR="00856C80" w:rsidRPr="00846B0F">
        <w:rPr>
          <w:rFonts w:eastAsia="Batang" w:cs="Times New Roman"/>
          <w:sz w:val="24"/>
          <w:szCs w:val="24"/>
        </w:rPr>
        <w:t>:</w:t>
      </w:r>
      <w:r w:rsidR="00D4037F" w:rsidRPr="00846B0F">
        <w:rPr>
          <w:rFonts w:eastAsia="Batang" w:cs="Times New Roman"/>
          <w:sz w:val="24"/>
          <w:szCs w:val="24"/>
        </w:rPr>
        <w:t xml:space="preserve"> </w:t>
      </w:r>
      <w:r w:rsidR="00127311" w:rsidRPr="00846B0F">
        <w:rPr>
          <w:rFonts w:eastAsia="Batang" w:cs="Times New Roman"/>
          <w:sz w:val="24"/>
          <w:szCs w:val="24"/>
        </w:rPr>
        <w:t>strengthen the role and effectiveness of the Senate</w:t>
      </w:r>
      <w:r w:rsidR="00D4037F" w:rsidRPr="00846B0F">
        <w:rPr>
          <w:rFonts w:eastAsia="Batang" w:cs="Times New Roman"/>
          <w:sz w:val="24"/>
          <w:szCs w:val="24"/>
        </w:rPr>
        <w:t xml:space="preserve">, </w:t>
      </w:r>
      <w:r w:rsidR="00127311" w:rsidRPr="00846B0F">
        <w:rPr>
          <w:rFonts w:eastAsia="Batang" w:cs="Times New Roman"/>
          <w:sz w:val="24"/>
          <w:szCs w:val="24"/>
        </w:rPr>
        <w:t>strengthen governance and accountability at the county level</w:t>
      </w:r>
      <w:r w:rsidR="00856C80" w:rsidRPr="00846B0F">
        <w:rPr>
          <w:rFonts w:eastAsia="Batang" w:cs="Times New Roman"/>
          <w:sz w:val="24"/>
          <w:szCs w:val="24"/>
        </w:rPr>
        <w:t>;</w:t>
      </w:r>
      <w:r w:rsidR="00127311" w:rsidRPr="00846B0F">
        <w:rPr>
          <w:rFonts w:eastAsia="Batang" w:cs="Times New Roman"/>
          <w:sz w:val="24"/>
          <w:szCs w:val="24"/>
        </w:rPr>
        <w:t xml:space="preserve"> strengthen links between the Senate and the counties</w:t>
      </w:r>
      <w:r w:rsidR="00856C80" w:rsidRPr="00846B0F">
        <w:rPr>
          <w:rFonts w:eastAsia="Batang" w:cs="Times New Roman"/>
          <w:sz w:val="24"/>
          <w:szCs w:val="24"/>
        </w:rPr>
        <w:t>;</w:t>
      </w:r>
      <w:r w:rsidR="00D4037F" w:rsidRPr="00846B0F">
        <w:rPr>
          <w:rFonts w:eastAsia="Batang" w:cs="Times New Roman"/>
          <w:sz w:val="24"/>
          <w:szCs w:val="24"/>
        </w:rPr>
        <w:t xml:space="preserve"> develop</w:t>
      </w:r>
      <w:r w:rsidR="00127311" w:rsidRPr="00846B0F">
        <w:rPr>
          <w:rFonts w:eastAsia="Batang" w:cs="Times New Roman"/>
          <w:sz w:val="24"/>
          <w:szCs w:val="24"/>
        </w:rPr>
        <w:t xml:space="preserve"> civic education and public participation</w:t>
      </w:r>
      <w:r w:rsidR="00D4037F" w:rsidRPr="00846B0F">
        <w:rPr>
          <w:rFonts w:eastAsia="Batang" w:cs="Times New Roman"/>
          <w:sz w:val="24"/>
          <w:szCs w:val="24"/>
        </w:rPr>
        <w:t xml:space="preserve"> mechanisms</w:t>
      </w:r>
      <w:r w:rsidR="00856C80" w:rsidRPr="00846B0F">
        <w:rPr>
          <w:rFonts w:eastAsia="Batang" w:cs="Times New Roman"/>
          <w:sz w:val="24"/>
          <w:szCs w:val="24"/>
        </w:rPr>
        <w:t>;</w:t>
      </w:r>
      <w:r w:rsidR="00D4037F" w:rsidRPr="00846B0F">
        <w:rPr>
          <w:rFonts w:eastAsia="Batang" w:cs="Times New Roman"/>
          <w:sz w:val="24"/>
          <w:szCs w:val="24"/>
        </w:rPr>
        <w:t xml:space="preserve"> s</w:t>
      </w:r>
      <w:r w:rsidR="00127311" w:rsidRPr="00846B0F">
        <w:rPr>
          <w:rFonts w:eastAsia="Batang" w:cs="Times New Roman"/>
          <w:sz w:val="24"/>
          <w:szCs w:val="24"/>
        </w:rPr>
        <w:t xml:space="preserve">trengthen the role and effectiveness of </w:t>
      </w:r>
      <w:r w:rsidR="00D4037F" w:rsidRPr="00846B0F">
        <w:rPr>
          <w:rFonts w:eastAsia="Batang" w:cs="Times New Roman"/>
          <w:sz w:val="24"/>
          <w:szCs w:val="24"/>
        </w:rPr>
        <w:t>TA to address these challenges</w:t>
      </w:r>
      <w:r w:rsidR="00127311" w:rsidRPr="00846B0F">
        <w:rPr>
          <w:rFonts w:eastAsia="Batang" w:cs="Times New Roman"/>
          <w:sz w:val="24"/>
          <w:szCs w:val="24"/>
        </w:rPr>
        <w:t>.</w:t>
      </w:r>
      <w:r w:rsidR="006D3318" w:rsidRPr="00846B0F">
        <w:rPr>
          <w:rFonts w:eastAsia="Batang" w:cs="Times New Roman"/>
          <w:sz w:val="24"/>
          <w:szCs w:val="24"/>
        </w:rPr>
        <w:t xml:space="preserve"> The TA’s mandate ended on 4 March 2016 as per the constitution and they have handed over their role to the Inter</w:t>
      </w:r>
      <w:r w:rsidR="00CE104B">
        <w:rPr>
          <w:rFonts w:eastAsia="Batang" w:cs="Times New Roman"/>
          <w:sz w:val="24"/>
          <w:szCs w:val="24"/>
        </w:rPr>
        <w:t>-G</w:t>
      </w:r>
      <w:r w:rsidR="006D3318" w:rsidRPr="00846B0F">
        <w:rPr>
          <w:rFonts w:eastAsia="Batang" w:cs="Times New Roman"/>
          <w:sz w:val="24"/>
          <w:szCs w:val="24"/>
        </w:rPr>
        <w:t xml:space="preserve">overnmental Relations Technical Committee (IGRTC). </w:t>
      </w:r>
    </w:p>
    <w:p w14:paraId="4DCDCDFB" w14:textId="4404296F" w:rsidR="00866678" w:rsidRPr="00846B0F" w:rsidRDefault="00866678" w:rsidP="007B7764">
      <w:pPr>
        <w:spacing w:after="0" w:line="276" w:lineRule="auto"/>
        <w:jc w:val="both"/>
        <w:rPr>
          <w:rFonts w:eastAsia="Batang" w:cs="Times New Roman"/>
          <w:sz w:val="24"/>
          <w:szCs w:val="24"/>
        </w:rPr>
      </w:pPr>
    </w:p>
    <w:p w14:paraId="6B63F1E5" w14:textId="6EB65F10" w:rsidR="00535514" w:rsidRDefault="00B86908" w:rsidP="00535514">
      <w:pPr>
        <w:spacing w:after="0" w:line="276" w:lineRule="auto"/>
        <w:jc w:val="both"/>
        <w:rPr>
          <w:rFonts w:cs="Times New Roman"/>
          <w:bCs/>
          <w:sz w:val="24"/>
          <w:szCs w:val="24"/>
        </w:rPr>
      </w:pPr>
      <w:r w:rsidRPr="00846B0F">
        <w:rPr>
          <w:rFonts w:cs="Times New Roman"/>
          <w:bCs/>
          <w:noProof/>
          <w:sz w:val="24"/>
          <w:szCs w:val="24"/>
        </w:rPr>
        <mc:AlternateContent>
          <mc:Choice Requires="wpg">
            <w:drawing>
              <wp:anchor distT="0" distB="0" distL="228600" distR="228600" simplePos="0" relativeHeight="251673600" behindDoc="0" locked="0" layoutInCell="1" allowOverlap="1" wp14:anchorId="1319E85D" wp14:editId="171770D9">
                <wp:simplePos x="0" y="0"/>
                <wp:positionH relativeFrom="page">
                  <wp:posOffset>631190</wp:posOffset>
                </wp:positionH>
                <wp:positionV relativeFrom="page">
                  <wp:posOffset>4455989</wp:posOffset>
                </wp:positionV>
                <wp:extent cx="4325815" cy="3798277"/>
                <wp:effectExtent l="0" t="0" r="17780" b="0"/>
                <wp:wrapSquare wrapText="bothSides"/>
                <wp:docPr id="8" name="Group 8"/>
                <wp:cNvGraphicFramePr/>
                <a:graphic xmlns:a="http://schemas.openxmlformats.org/drawingml/2006/main">
                  <a:graphicData uri="http://schemas.microsoft.com/office/word/2010/wordprocessingGroup">
                    <wpg:wgp>
                      <wpg:cNvGrpSpPr/>
                      <wpg:grpSpPr>
                        <a:xfrm>
                          <a:off x="0" y="0"/>
                          <a:ext cx="4325815" cy="3798277"/>
                          <a:chOff x="0" y="0"/>
                          <a:chExt cx="3390616" cy="2028766"/>
                        </a:xfrm>
                      </wpg:grpSpPr>
                      <wps:wsp>
                        <wps:cNvPr id="9" name="Rectangle 9"/>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 name="Group 10"/>
                        <wpg:cNvGrpSpPr/>
                        <wpg:grpSpPr>
                          <a:xfrm>
                            <a:off x="1" y="19050"/>
                            <a:ext cx="3377493" cy="822473"/>
                            <a:chOff x="228600" y="0"/>
                            <a:chExt cx="2210474" cy="1012274"/>
                          </a:xfrm>
                        </wpg:grpSpPr>
                        <wps:wsp>
                          <wps:cNvPr id="11"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269480" y="102184"/>
                              <a:ext cx="2169594" cy="368576"/>
                            </a:xfrm>
                            <a:prstGeom prst="rect">
                              <a:avLst/>
                            </a:prstGeom>
                            <a:blipFill>
                              <a:blip r:embed="rId11"/>
                              <a:stretch>
                                <a:fillRect/>
                              </a:stretch>
                            </a:blipFill>
                            <a:ln w="19050">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7F2266" w14:textId="77777777" w:rsidR="00477F5B" w:rsidRPr="00C57025" w:rsidRDefault="00477F5B" w:rsidP="006B2095">
                                <w:pPr>
                                  <w:jc w:val="center"/>
                                  <w:rPr>
                                    <w:b/>
                                    <w:color w:val="000000" w:themeColor="text1"/>
                                  </w:rPr>
                                </w:pPr>
                                <w:r>
                                  <w:rPr>
                                    <w:b/>
                                    <w:color w:val="000000" w:themeColor="text1"/>
                                  </w:rPr>
                                  <w:t>Recommendations from Costing of Government Functions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Text Box 13"/>
                        <wps:cNvSpPr txBox="1"/>
                        <wps:spPr>
                          <a:xfrm>
                            <a:off x="68706" y="477021"/>
                            <a:ext cx="3321910" cy="1454807"/>
                          </a:xfrm>
                          <a:prstGeom prst="rect">
                            <a:avLst/>
                          </a:prstGeom>
                          <a:ln w="19050">
                            <a:solidFill>
                              <a:schemeClr val="accent6">
                                <a:lumMod val="60000"/>
                                <a:lumOff val="40000"/>
                              </a:schemeClr>
                            </a:solidFill>
                          </a:ln>
                          <a:effectLst/>
                        </wps:spPr>
                        <wps:style>
                          <a:lnRef idx="0">
                            <a:schemeClr val="accent1"/>
                          </a:lnRef>
                          <a:fillRef idx="1003">
                            <a:schemeClr val="lt1"/>
                          </a:fillRef>
                          <a:effectRef idx="0">
                            <a:schemeClr val="accent1"/>
                          </a:effectRef>
                          <a:fontRef idx="minor">
                            <a:schemeClr val="dk1"/>
                          </a:fontRef>
                        </wps:style>
                        <wps:txbx>
                          <w:txbxContent>
                            <w:p w14:paraId="228A216A" w14:textId="3CB45058" w:rsidR="00477F5B" w:rsidRPr="001D3CBA" w:rsidRDefault="002348EE" w:rsidP="0075650A">
                              <w:pPr>
                                <w:pStyle w:val="ListParagraph"/>
                                <w:numPr>
                                  <w:ilvl w:val="0"/>
                                  <w:numId w:val="10"/>
                                </w:numPr>
                                <w:spacing w:after="0" w:line="276" w:lineRule="auto"/>
                                <w:rPr>
                                  <w:rFonts w:cs="Times New Roman"/>
                                  <w:bCs/>
                                </w:rPr>
                              </w:pPr>
                              <w:r>
                                <w:rPr>
                                  <w:rFonts w:cs="Times New Roman"/>
                                  <w:bCs/>
                                </w:rPr>
                                <w:t>T</w:t>
                              </w:r>
                              <w:r w:rsidR="00477F5B" w:rsidRPr="001D3CBA">
                                <w:rPr>
                                  <w:rFonts w:cs="Times New Roman"/>
                                  <w:bCs/>
                                </w:rPr>
                                <w:t>he costing of functions results be applied in resource allocation while taking cogniz</w:t>
                              </w:r>
                              <w:r>
                                <w:rPr>
                                  <w:rFonts w:cs="Times New Roman"/>
                                  <w:bCs/>
                                </w:rPr>
                                <w:t>ance of the available resources</w:t>
                              </w:r>
                              <w:r w:rsidR="00477F5B" w:rsidRPr="001D3CBA">
                                <w:rPr>
                                  <w:rFonts w:cs="Times New Roman"/>
                                  <w:bCs/>
                                </w:rPr>
                                <w:t xml:space="preserve"> </w:t>
                              </w:r>
                            </w:p>
                            <w:p w14:paraId="2830B275" w14:textId="48C53571" w:rsidR="00477F5B" w:rsidRPr="001D3CBA" w:rsidRDefault="002348EE" w:rsidP="0075650A">
                              <w:pPr>
                                <w:pStyle w:val="ListParagraph"/>
                                <w:numPr>
                                  <w:ilvl w:val="0"/>
                                  <w:numId w:val="10"/>
                                </w:numPr>
                                <w:spacing w:after="0" w:line="276" w:lineRule="auto"/>
                                <w:rPr>
                                  <w:rFonts w:cs="Times New Roman"/>
                                  <w:bCs/>
                                </w:rPr>
                              </w:pPr>
                              <w:r>
                                <w:rPr>
                                  <w:rFonts w:cs="Times New Roman"/>
                                  <w:bCs/>
                                </w:rPr>
                                <w:t>R</w:t>
                              </w:r>
                              <w:r w:rsidR="00477F5B" w:rsidRPr="001D3CBA">
                                <w:rPr>
                                  <w:rFonts w:cs="Times New Roman"/>
                                  <w:bCs/>
                                </w:rPr>
                                <w:t>eliable and massive data sets are required to undertake</w:t>
                              </w:r>
                              <w:r>
                                <w:rPr>
                                  <w:rFonts w:cs="Times New Roman"/>
                                  <w:bCs/>
                                </w:rPr>
                                <w:t xml:space="preserve"> the costing of functions</w:t>
                              </w:r>
                              <w:r w:rsidR="00477F5B" w:rsidRPr="001D3CBA">
                                <w:rPr>
                                  <w:rFonts w:cs="Times New Roman"/>
                                  <w:bCs/>
                                </w:rPr>
                                <w:t xml:space="preserve"> </w:t>
                              </w:r>
                            </w:p>
                            <w:p w14:paraId="6F3AE8E6" w14:textId="264C45A4" w:rsidR="00477F5B" w:rsidRPr="001D3CBA" w:rsidRDefault="002348EE" w:rsidP="0075650A">
                              <w:pPr>
                                <w:pStyle w:val="ListParagraph"/>
                                <w:numPr>
                                  <w:ilvl w:val="0"/>
                                  <w:numId w:val="10"/>
                                </w:numPr>
                                <w:spacing w:after="0" w:line="276" w:lineRule="auto"/>
                                <w:rPr>
                                  <w:rFonts w:cs="Times New Roman"/>
                                  <w:bCs/>
                                </w:rPr>
                              </w:pPr>
                              <w:r>
                                <w:rPr>
                                  <w:rFonts w:cs="Times New Roman"/>
                                  <w:bCs/>
                                </w:rPr>
                                <w:t>N</w:t>
                              </w:r>
                              <w:r w:rsidR="00477F5B" w:rsidRPr="001D3CBA">
                                <w:rPr>
                                  <w:rFonts w:cs="Times New Roman"/>
                                  <w:bCs/>
                                </w:rPr>
                                <w:t>orms and standards should be harmonized and published for all sectors in the economy to support the normative ap</w:t>
                              </w:r>
                              <w:r>
                                <w:rPr>
                                  <w:rFonts w:cs="Times New Roman"/>
                                  <w:bCs/>
                                </w:rPr>
                                <w:t>proach to costing of functions</w:t>
                              </w:r>
                            </w:p>
                            <w:p w14:paraId="4205BAD0" w14:textId="5E698690" w:rsidR="00477F5B" w:rsidRPr="001D3CBA" w:rsidRDefault="002348EE" w:rsidP="0075650A">
                              <w:pPr>
                                <w:pStyle w:val="ListParagraph"/>
                                <w:numPr>
                                  <w:ilvl w:val="0"/>
                                  <w:numId w:val="10"/>
                                </w:numPr>
                                <w:spacing w:after="0" w:line="276" w:lineRule="auto"/>
                                <w:rPr>
                                  <w:rFonts w:cs="Times New Roman"/>
                                  <w:bCs/>
                                </w:rPr>
                              </w:pPr>
                              <w:r>
                                <w:rPr>
                                  <w:rFonts w:cs="Times New Roman"/>
                                  <w:bCs/>
                                </w:rPr>
                                <w:t>T</w:t>
                              </w:r>
                              <w:r w:rsidR="00477F5B" w:rsidRPr="001D3CBA">
                                <w:rPr>
                                  <w:rFonts w:cs="Times New Roman"/>
                                  <w:bCs/>
                                </w:rPr>
                                <w:t>he activity based costing approach is highly recommended for use by the two level</w:t>
                              </w:r>
                              <w:r>
                                <w:rPr>
                                  <w:rFonts w:cs="Times New Roman"/>
                                  <w:bCs/>
                                </w:rPr>
                                <w:t>s of government</w:t>
                              </w:r>
                              <w:r w:rsidR="00477F5B" w:rsidRPr="001D3CBA">
                                <w:rPr>
                                  <w:rFonts w:cs="Times New Roman"/>
                                  <w:bCs/>
                                </w:rPr>
                                <w:t xml:space="preserve"> </w:t>
                              </w:r>
                            </w:p>
                            <w:p w14:paraId="70DC8FC2" w14:textId="18F83014" w:rsidR="00477F5B" w:rsidRPr="001D3CBA" w:rsidRDefault="002348EE" w:rsidP="0075650A">
                              <w:pPr>
                                <w:pStyle w:val="ListParagraph"/>
                                <w:numPr>
                                  <w:ilvl w:val="0"/>
                                  <w:numId w:val="10"/>
                                </w:numPr>
                                <w:spacing w:after="0" w:line="276" w:lineRule="auto"/>
                                <w:rPr>
                                  <w:rFonts w:cs="Times New Roman"/>
                                  <w:bCs/>
                                </w:rPr>
                              </w:pPr>
                              <w:r>
                                <w:rPr>
                                  <w:rFonts w:cs="Times New Roman"/>
                                  <w:bCs/>
                                </w:rPr>
                                <w:t>T</w:t>
                              </w:r>
                              <w:r w:rsidR="00477F5B" w:rsidRPr="001D3CBA">
                                <w:rPr>
                                  <w:rFonts w:cs="Times New Roman"/>
                                  <w:bCs/>
                                </w:rPr>
                                <w:t>he results of the costing of government functions will provide clarity on the resources required to perform functions at both the n</w:t>
                              </w:r>
                              <w:r>
                                <w:rPr>
                                  <w:rFonts w:cs="Times New Roman"/>
                                  <w:bCs/>
                                </w:rPr>
                                <w:t>ational and county governments</w:t>
                              </w:r>
                            </w:p>
                            <w:p w14:paraId="5883E948" w14:textId="77777777" w:rsidR="00477F5B" w:rsidRDefault="00477F5B" w:rsidP="006B2095">
                              <w:pPr>
                                <w:pStyle w:val="NoSpacing"/>
                                <w:ind w:left="360"/>
                                <w:jc w:val="right"/>
                                <w:rPr>
                                  <w:color w:val="5B9BD5" w:themeColor="accent1"/>
                                  <w:sz w:val="20"/>
                                  <w:szCs w:val="20"/>
                                </w:rPr>
                              </w:pPr>
                            </w:p>
                          </w:txbxContent>
                        </wps:txbx>
                        <wps:bodyPr rot="0" spcFirstLastPara="0" vertOverflow="overflow" horzOverflow="overflow" vert="horz" wrap="square" lIns="45720" tIns="9144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19E85D" id="Group 8" o:spid="_x0000_s1027" style="position:absolute;left:0;text-align:left;margin-left:49.7pt;margin-top:350.85pt;width:340.6pt;height:299.1pt;z-index:251673600;mso-wrap-distance-left:18pt;mso-wrap-distance-right:18pt;mso-position-horizontal-relative:page;mso-position-vertical-relative:page;mso-width-relative:margin;mso-height-relative:margin" coordsize="33906,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">
                <v:rect id="Rectangle 9" o:spid="_x0000_s1028" style="position:absolute;width:32186;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Ur8MUA&#10;AADaAAAADwAAAGRycy9kb3ducmV2LnhtbESPQWvCQBSE74L/YXlCL1I3FRUbXaVYCooiVC1eH9ln&#10;Esy+jdmtRn+9Kwgeh5n5hhlPa1OIM1Uut6zgoxOBIE6szjlVsNv+vA9BOI+ssbBMCq7kYDppNsYY&#10;a3vhXzpvfCoChF2MCjLvy1hKl2Rk0HVsSRy8g60M+iCrVOoKLwFuCtmNooE0mHNYyLCkWUbJcfNv&#10;FJx6Q17slt3Byh/2t9v+r73tf6+VemvVXyMQnmr/Cj/bc63gEx5Xwg2Q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SvwxQAAANoAAAAPAAAAAAAAAAAAAAAAAJgCAABkcnMv&#10;ZG93bnJldi54bWxQSwUGAAAAAAQABAD1AAAAigMAAAAA&#10;" fillcolor="white [3212]" stroked="f" strokeweight="1pt">
                  <v:fill opacity="0"/>
                </v:rect>
                <v:group id="Group 10" o:spid="_x0000_s1029" style="position:absolute;top:190;width:33774;height:8225" coordorigin="2286" coordsize="22104,10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Rectangle 10" o:spid="_x0000_s1030"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M/8sMA&#10;AADbAAAADwAAAGRycy9kb3ducmV2LnhtbERP32vCMBB+F/wfwgl7kZlWQUdnFJEJGzhQJz7fmrMp&#10;NpeuyWz97xdB2Nt9fD9vvuxsJa7U+NKxgnSUgCDOnS65UHD82jy/gPABWWPlmBTcyMNy0e/NMdOu&#10;5T1dD6EQMYR9hgpMCHUmpc8NWfQjVxNH7uwaiyHCppC6wTaG20qOk2QqLZYcGwzWtDaUXw6/VsHb&#10;9+fHTzrctvvpbnJZ7WZ2Zs1JqadBt3oFEagL/+KH+13H+Sncf4k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M/8sMAAADbAAAADwAAAAAAAAAAAAAAAACYAgAAZHJzL2Rv&#10;d25yZXYueG1sUEsFBgAAAAAEAAQA9QAAAIgDAAAAAA==&#10;" path="m,l2240281,,1659256,222885,,822960,,xe" fillcolor="#5b9bd5 [3204]" stroked="f" strokeweight="1pt">
                    <v:stroke joinstyle="miter"/>
                    <v:path arrowok="t" o:connecttype="custom" o:connectlocs="0,0;1466258,0;1085979,274158;0,1012274;0,0" o:connectangles="0,0,0,0,0"/>
                  </v:shape>
                  <v:rect id="Rectangle 12" o:spid="_x0000_s1031" style="position:absolute;left:2694;top:1021;width:21696;height:3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KYlr4A&#10;AADbAAAADwAAAGRycy9kb3ducmV2LnhtbERPTWsCMRC9C/6HMEJvNbseSl2NUgTBm3RbPA+bcbN0&#10;M1mTuBv/fVMoeJvH+5ztPtlejORD51hBuSxAEDdOd9wq+P46vr6DCBFZY++YFDwowH43n22x0m7i&#10;Txrr2IocwqFCBSbGoZIyNIYshqUbiDN3dd5izNC3Unuccrjt5aoo3qTFjnODwYEOhpqf+m4VpPKB&#10;JXe+vl8mQ/6Wzu1tPSr1skgfGxCRUnyK/90nneev4O+XfIDc/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XymJa+AAAA2wAAAA8AAAAAAAAAAAAAAAAAmAIAAGRycy9kb3ducmV2&#10;LnhtbFBLBQYAAAAABAAEAPUAAACDAwAAAAA=&#10;" strokecolor="#a8d08d [1945]" strokeweight="1.5pt">
                    <v:fill r:id="rId12" o:title="" recolor="t" rotate="t" type="frame"/>
                    <v:textbox>
                      <w:txbxContent>
                        <w:p w14:paraId="527F2266" w14:textId="77777777" w:rsidR="00477F5B" w:rsidRPr="00C57025" w:rsidRDefault="00477F5B" w:rsidP="006B2095">
                          <w:pPr>
                            <w:jc w:val="center"/>
                            <w:rPr>
                              <w:b/>
                              <w:color w:val="000000" w:themeColor="text1"/>
                            </w:rPr>
                          </w:pPr>
                          <w:r>
                            <w:rPr>
                              <w:b/>
                              <w:color w:val="000000" w:themeColor="text1"/>
                            </w:rPr>
                            <w:t>Recommendations from Costing of Government Functions</w:t>
                          </w:r>
                        </w:p>
                      </w:txbxContent>
                    </v:textbox>
                  </v:rect>
                </v:group>
                <v:shapetype id="_x0000_t202" coordsize="21600,21600" o:spt="202" path="m,l,21600r21600,l21600,xe">
                  <v:stroke joinstyle="miter"/>
                  <v:path gradientshapeok="t" o:connecttype="rect"/>
                </v:shapetype>
                <v:shape id="Text Box 13" o:spid="_x0000_s1032" type="#_x0000_t202" style="position:absolute;left:687;top:4770;width:33219;height:145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spGbsA&#10;AADbAAAADwAAAGRycy9kb3ducmV2LnhtbERPyQrCMBC9C/5DGMGbpi6IVKO449Xl4HFoxrbYTEoT&#10;bf17Iwje5vHWmS8bU4gXVS63rGDQj0AQJ1bnnCq4Xva9KQjnkTUWlknBmxwsF+3WHGNtaz7R6+xT&#10;EULYxagg876MpXRJRgZd35bEgbvbyqAPsEqlrrAO4aaQwyiaSIM5h4YMS9pklDzOT6PgYK71fUw3&#10;TNa7YTqW281z6nOlup1mNQPhqfF/8c991GH+CL6/hAPk4g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MbKRm7AAAA2wAAAA8AAAAAAAAAAAAAAAAAmAIAAGRycy9kb3ducmV2Lnht&#10;bFBLBQYAAAAABAAEAPUAAACAAwAAAAA=&#10;" fillcolor="white [2993]" strokecolor="#a8d08d [1945]" strokeweight="1.5pt">
                  <v:fill color2="#a0a0a0 [2017]" rotate="t" colors="0 white;.5 #fbfbfb;1 #d0d0d0" focus="100%" type="gradient">
                    <o:fill v:ext="view" type="gradientUnscaled"/>
                  </v:fill>
                  <v:textbox inset="3.6pt,7.2pt,0,0">
                    <w:txbxContent>
                      <w:p w14:paraId="228A216A" w14:textId="3CB45058" w:rsidR="00477F5B" w:rsidRPr="001D3CBA" w:rsidRDefault="002348EE" w:rsidP="0075650A">
                        <w:pPr>
                          <w:pStyle w:val="ListParagraph"/>
                          <w:numPr>
                            <w:ilvl w:val="0"/>
                            <w:numId w:val="10"/>
                          </w:numPr>
                          <w:spacing w:after="0" w:line="276" w:lineRule="auto"/>
                          <w:rPr>
                            <w:rFonts w:cs="Times New Roman"/>
                            <w:bCs/>
                          </w:rPr>
                        </w:pPr>
                        <w:r>
                          <w:rPr>
                            <w:rFonts w:cs="Times New Roman"/>
                            <w:bCs/>
                          </w:rPr>
                          <w:t>T</w:t>
                        </w:r>
                        <w:r w:rsidR="00477F5B" w:rsidRPr="001D3CBA">
                          <w:rPr>
                            <w:rFonts w:cs="Times New Roman"/>
                            <w:bCs/>
                          </w:rPr>
                          <w:t>he costing of functions results be applied in resource allocation while taking cogniz</w:t>
                        </w:r>
                        <w:r>
                          <w:rPr>
                            <w:rFonts w:cs="Times New Roman"/>
                            <w:bCs/>
                          </w:rPr>
                          <w:t>ance of the available resources</w:t>
                        </w:r>
                        <w:r w:rsidR="00477F5B" w:rsidRPr="001D3CBA">
                          <w:rPr>
                            <w:rFonts w:cs="Times New Roman"/>
                            <w:bCs/>
                          </w:rPr>
                          <w:t xml:space="preserve"> </w:t>
                        </w:r>
                      </w:p>
                      <w:p w14:paraId="2830B275" w14:textId="48C53571" w:rsidR="00477F5B" w:rsidRPr="001D3CBA" w:rsidRDefault="002348EE" w:rsidP="0075650A">
                        <w:pPr>
                          <w:pStyle w:val="ListParagraph"/>
                          <w:numPr>
                            <w:ilvl w:val="0"/>
                            <w:numId w:val="10"/>
                          </w:numPr>
                          <w:spacing w:after="0" w:line="276" w:lineRule="auto"/>
                          <w:rPr>
                            <w:rFonts w:cs="Times New Roman"/>
                            <w:bCs/>
                          </w:rPr>
                        </w:pPr>
                        <w:r>
                          <w:rPr>
                            <w:rFonts w:cs="Times New Roman"/>
                            <w:bCs/>
                          </w:rPr>
                          <w:t>R</w:t>
                        </w:r>
                        <w:r w:rsidR="00477F5B" w:rsidRPr="001D3CBA">
                          <w:rPr>
                            <w:rFonts w:cs="Times New Roman"/>
                            <w:bCs/>
                          </w:rPr>
                          <w:t>eliable and massive data sets are required to undertake</w:t>
                        </w:r>
                        <w:r>
                          <w:rPr>
                            <w:rFonts w:cs="Times New Roman"/>
                            <w:bCs/>
                          </w:rPr>
                          <w:t xml:space="preserve"> the costing of functions</w:t>
                        </w:r>
                        <w:r w:rsidR="00477F5B" w:rsidRPr="001D3CBA">
                          <w:rPr>
                            <w:rFonts w:cs="Times New Roman"/>
                            <w:bCs/>
                          </w:rPr>
                          <w:t xml:space="preserve"> </w:t>
                        </w:r>
                      </w:p>
                      <w:p w14:paraId="6F3AE8E6" w14:textId="264C45A4" w:rsidR="00477F5B" w:rsidRPr="001D3CBA" w:rsidRDefault="002348EE" w:rsidP="0075650A">
                        <w:pPr>
                          <w:pStyle w:val="ListParagraph"/>
                          <w:numPr>
                            <w:ilvl w:val="0"/>
                            <w:numId w:val="10"/>
                          </w:numPr>
                          <w:spacing w:after="0" w:line="276" w:lineRule="auto"/>
                          <w:rPr>
                            <w:rFonts w:cs="Times New Roman"/>
                            <w:bCs/>
                          </w:rPr>
                        </w:pPr>
                        <w:r>
                          <w:rPr>
                            <w:rFonts w:cs="Times New Roman"/>
                            <w:bCs/>
                          </w:rPr>
                          <w:t>N</w:t>
                        </w:r>
                        <w:r w:rsidR="00477F5B" w:rsidRPr="001D3CBA">
                          <w:rPr>
                            <w:rFonts w:cs="Times New Roman"/>
                            <w:bCs/>
                          </w:rPr>
                          <w:t>orms and standards should be harmonized and published for all sectors in the economy to support the normative ap</w:t>
                        </w:r>
                        <w:r>
                          <w:rPr>
                            <w:rFonts w:cs="Times New Roman"/>
                            <w:bCs/>
                          </w:rPr>
                          <w:t>proach to costing of functions</w:t>
                        </w:r>
                      </w:p>
                      <w:p w14:paraId="4205BAD0" w14:textId="5E698690" w:rsidR="00477F5B" w:rsidRPr="001D3CBA" w:rsidRDefault="002348EE" w:rsidP="0075650A">
                        <w:pPr>
                          <w:pStyle w:val="ListParagraph"/>
                          <w:numPr>
                            <w:ilvl w:val="0"/>
                            <w:numId w:val="10"/>
                          </w:numPr>
                          <w:spacing w:after="0" w:line="276" w:lineRule="auto"/>
                          <w:rPr>
                            <w:rFonts w:cs="Times New Roman"/>
                            <w:bCs/>
                          </w:rPr>
                        </w:pPr>
                        <w:r>
                          <w:rPr>
                            <w:rFonts w:cs="Times New Roman"/>
                            <w:bCs/>
                          </w:rPr>
                          <w:t>T</w:t>
                        </w:r>
                        <w:r w:rsidR="00477F5B" w:rsidRPr="001D3CBA">
                          <w:rPr>
                            <w:rFonts w:cs="Times New Roman"/>
                            <w:bCs/>
                          </w:rPr>
                          <w:t>he activity based costing approach is highly recommended for use by the two level</w:t>
                        </w:r>
                        <w:r>
                          <w:rPr>
                            <w:rFonts w:cs="Times New Roman"/>
                            <w:bCs/>
                          </w:rPr>
                          <w:t>s of government</w:t>
                        </w:r>
                        <w:r w:rsidR="00477F5B" w:rsidRPr="001D3CBA">
                          <w:rPr>
                            <w:rFonts w:cs="Times New Roman"/>
                            <w:bCs/>
                          </w:rPr>
                          <w:t xml:space="preserve"> </w:t>
                        </w:r>
                      </w:p>
                      <w:p w14:paraId="70DC8FC2" w14:textId="18F83014" w:rsidR="00477F5B" w:rsidRPr="001D3CBA" w:rsidRDefault="002348EE" w:rsidP="0075650A">
                        <w:pPr>
                          <w:pStyle w:val="ListParagraph"/>
                          <w:numPr>
                            <w:ilvl w:val="0"/>
                            <w:numId w:val="10"/>
                          </w:numPr>
                          <w:spacing w:after="0" w:line="276" w:lineRule="auto"/>
                          <w:rPr>
                            <w:rFonts w:cs="Times New Roman"/>
                            <w:bCs/>
                          </w:rPr>
                        </w:pPr>
                        <w:r>
                          <w:rPr>
                            <w:rFonts w:cs="Times New Roman"/>
                            <w:bCs/>
                          </w:rPr>
                          <w:t>T</w:t>
                        </w:r>
                        <w:r w:rsidR="00477F5B" w:rsidRPr="001D3CBA">
                          <w:rPr>
                            <w:rFonts w:cs="Times New Roman"/>
                            <w:bCs/>
                          </w:rPr>
                          <w:t>he results of the costing of government functions will provide clarity on the resources required to perform functions at both the n</w:t>
                        </w:r>
                        <w:r>
                          <w:rPr>
                            <w:rFonts w:cs="Times New Roman"/>
                            <w:bCs/>
                          </w:rPr>
                          <w:t>ational and county governments</w:t>
                        </w:r>
                      </w:p>
                      <w:p w14:paraId="5883E948" w14:textId="77777777" w:rsidR="00477F5B" w:rsidRDefault="00477F5B" w:rsidP="006B2095">
                        <w:pPr>
                          <w:pStyle w:val="NoSpacing"/>
                          <w:ind w:left="360"/>
                          <w:jc w:val="right"/>
                          <w:rPr>
                            <w:color w:val="5B9BD5" w:themeColor="accent1"/>
                            <w:sz w:val="20"/>
                            <w:szCs w:val="20"/>
                          </w:rPr>
                        </w:pPr>
                      </w:p>
                    </w:txbxContent>
                  </v:textbox>
                </v:shape>
                <w10:wrap type="square" anchorx="page" anchory="page"/>
              </v:group>
            </w:pict>
          </mc:Fallback>
        </mc:AlternateContent>
      </w:r>
      <w:r w:rsidR="006B2095" w:rsidRPr="00846B0F">
        <w:rPr>
          <w:rFonts w:cs="Times New Roman"/>
          <w:bCs/>
          <w:sz w:val="24"/>
          <w:szCs w:val="24"/>
        </w:rPr>
        <w:t>The TA and CRA finalized the costing of five government functions including</w:t>
      </w:r>
      <w:r w:rsidR="00E72F8A">
        <w:rPr>
          <w:rFonts w:cs="Times New Roman"/>
          <w:bCs/>
          <w:sz w:val="24"/>
          <w:szCs w:val="24"/>
        </w:rPr>
        <w:t>:</w:t>
      </w:r>
      <w:r w:rsidR="006B2095" w:rsidRPr="00846B0F">
        <w:rPr>
          <w:rFonts w:cs="Times New Roman"/>
          <w:bCs/>
          <w:sz w:val="24"/>
          <w:szCs w:val="24"/>
        </w:rPr>
        <w:t xml:space="preserve"> health; environment; water and natural resources; agriculture, livestock and fisheries; roads and infrastructure; foreign affairs. The costing of government functions has determined the realistic quantum or proportion of funds and other resources necessary for the performance of the functions assigned to the </w:t>
      </w:r>
      <w:r w:rsidR="006B2095" w:rsidRPr="00846B0F">
        <w:rPr>
          <w:rFonts w:cs="Times New Roman"/>
          <w:bCs/>
          <w:sz w:val="24"/>
          <w:szCs w:val="24"/>
        </w:rPr>
        <w:lastRenderedPageBreak/>
        <w:t>national and county governments. The report will be used to: inform planning and budget process in the country to enhance efficiency and effectiveness of the use of resources; measure performance and accountability of the leadership; ensure equitable resource  distribution between the two levels of government and among the county governments; review and develop norms and standards for basic services provided by national and county governments; link budget decisions with programs and be more transparent; ensure that the process eases the transfer of functions as “funds follow functions”.</w:t>
      </w:r>
      <w:r w:rsidR="00535514" w:rsidRPr="00846B0F">
        <w:rPr>
          <w:rFonts w:cs="Times New Roman"/>
          <w:bCs/>
          <w:sz w:val="24"/>
          <w:szCs w:val="24"/>
        </w:rPr>
        <w:t xml:space="preserve"> The recommendations will support the CRA towards vertical equitable sharing of revenue. Further, the report recommends that the remaining sectors be costed to realize the initial objectives of costing of government functions.</w:t>
      </w:r>
    </w:p>
    <w:p w14:paraId="7443C49E" w14:textId="77777777" w:rsidR="00291E3E" w:rsidRPr="00846B0F" w:rsidRDefault="00291E3E" w:rsidP="00535514">
      <w:pPr>
        <w:spacing w:after="0" w:line="276" w:lineRule="auto"/>
        <w:jc w:val="both"/>
        <w:rPr>
          <w:rFonts w:cs="Times New Roman"/>
          <w:bCs/>
          <w:sz w:val="24"/>
          <w:szCs w:val="24"/>
        </w:rPr>
      </w:pPr>
    </w:p>
    <w:p w14:paraId="66DAC6ED" w14:textId="7F316DE8" w:rsidR="00CF7615" w:rsidRPr="00291E3E" w:rsidRDefault="005558B8" w:rsidP="00291E3E">
      <w:pPr>
        <w:pStyle w:val="Heading2"/>
        <w:numPr>
          <w:ilvl w:val="0"/>
          <w:numId w:val="15"/>
        </w:numPr>
        <w:rPr>
          <w:rFonts w:cs="Times New Roman"/>
          <w:color w:val="00B0F0"/>
          <w:sz w:val="24"/>
          <w:szCs w:val="24"/>
        </w:rPr>
      </w:pPr>
      <w:r w:rsidRPr="00291E3E">
        <w:rPr>
          <w:rFonts w:cs="Times New Roman"/>
          <w:color w:val="00B0F0"/>
          <w:sz w:val="24"/>
          <w:szCs w:val="24"/>
        </w:rPr>
        <w:t>S</w:t>
      </w:r>
      <w:r w:rsidR="00856C21" w:rsidRPr="00291E3E">
        <w:rPr>
          <w:rFonts w:cs="Times New Roman"/>
          <w:color w:val="00B0F0"/>
          <w:sz w:val="24"/>
          <w:szCs w:val="24"/>
        </w:rPr>
        <w:t xml:space="preserve">trengthened </w:t>
      </w:r>
      <w:r w:rsidR="006A4E4D" w:rsidRPr="00291E3E">
        <w:rPr>
          <w:rFonts w:cs="Times New Roman"/>
          <w:color w:val="00B0F0"/>
          <w:sz w:val="24"/>
          <w:szCs w:val="24"/>
        </w:rPr>
        <w:t xml:space="preserve">Institutional and Human Capacities at National and County Level </w:t>
      </w:r>
    </w:p>
    <w:p w14:paraId="720E50BB" w14:textId="77777777" w:rsidR="006B2095" w:rsidRPr="00846B0F" w:rsidRDefault="006B2095" w:rsidP="006B2095">
      <w:pPr>
        <w:pStyle w:val="NoSpacing"/>
        <w:spacing w:line="276" w:lineRule="auto"/>
        <w:ind w:left="1080"/>
        <w:jc w:val="both"/>
        <w:rPr>
          <w:rFonts w:cs="Times New Roman"/>
          <w:b/>
          <w:color w:val="00B0F0"/>
          <w:sz w:val="24"/>
          <w:szCs w:val="24"/>
        </w:rPr>
      </w:pPr>
    </w:p>
    <w:p w14:paraId="2A3BFF96" w14:textId="77777777" w:rsidR="009D6EF1" w:rsidRPr="00846B0F" w:rsidRDefault="00291E3E" w:rsidP="00363730">
      <w:pPr>
        <w:spacing w:after="0" w:line="276" w:lineRule="auto"/>
        <w:jc w:val="both"/>
        <w:rPr>
          <w:rFonts w:cs="Times New Roman"/>
          <w:sz w:val="24"/>
          <w:szCs w:val="24"/>
        </w:rPr>
      </w:pPr>
      <w:r w:rsidRPr="00846B0F">
        <w:rPr>
          <w:rFonts w:cs="Times New Roman"/>
          <w:bCs/>
          <w:noProof/>
          <w:sz w:val="24"/>
          <w:szCs w:val="24"/>
        </w:rPr>
        <mc:AlternateContent>
          <mc:Choice Requires="wpg">
            <w:drawing>
              <wp:anchor distT="45720" distB="45720" distL="182880" distR="182880" simplePos="0" relativeHeight="251652096" behindDoc="0" locked="0" layoutInCell="1" allowOverlap="1" wp14:anchorId="2041B341" wp14:editId="13868CEC">
                <wp:simplePos x="0" y="0"/>
                <wp:positionH relativeFrom="margin">
                  <wp:posOffset>2303389</wp:posOffset>
                </wp:positionH>
                <wp:positionV relativeFrom="margin">
                  <wp:posOffset>1309468</wp:posOffset>
                </wp:positionV>
                <wp:extent cx="3820160" cy="1948815"/>
                <wp:effectExtent l="0" t="0" r="27940" b="13335"/>
                <wp:wrapSquare wrapText="bothSides"/>
                <wp:docPr id="198" name="Group 198"/>
                <wp:cNvGraphicFramePr/>
                <a:graphic xmlns:a="http://schemas.openxmlformats.org/drawingml/2006/main">
                  <a:graphicData uri="http://schemas.microsoft.com/office/word/2010/wordprocessingGroup">
                    <wpg:wgp>
                      <wpg:cNvGrpSpPr/>
                      <wpg:grpSpPr>
                        <a:xfrm>
                          <a:off x="0" y="0"/>
                          <a:ext cx="3820160" cy="1948815"/>
                          <a:chOff x="-60407" y="-14072"/>
                          <a:chExt cx="3567448" cy="636028"/>
                        </a:xfrm>
                      </wpg:grpSpPr>
                      <wps:wsp>
                        <wps:cNvPr id="199" name="Rectangle 199"/>
                        <wps:cNvSpPr/>
                        <wps:spPr>
                          <a:xfrm>
                            <a:off x="-60407" y="-14072"/>
                            <a:ext cx="3567448" cy="90063"/>
                          </a:xfrm>
                          <a:prstGeom prst="rect">
                            <a:avLst/>
                          </a:prstGeom>
                          <a:ln w="19050"/>
                        </wps:spPr>
                        <wps:style>
                          <a:lnRef idx="2">
                            <a:schemeClr val="accent6"/>
                          </a:lnRef>
                          <a:fillRef idx="1001">
                            <a:schemeClr val="lt2"/>
                          </a:fillRef>
                          <a:effectRef idx="0">
                            <a:schemeClr val="accent6"/>
                          </a:effectRef>
                          <a:fontRef idx="minor">
                            <a:schemeClr val="dk1"/>
                          </a:fontRef>
                        </wps:style>
                        <wps:txbx>
                          <w:txbxContent>
                            <w:p w14:paraId="2E41B3EE" w14:textId="77777777" w:rsidR="00477F5B" w:rsidRPr="00C57025" w:rsidRDefault="00477F5B">
                              <w:pPr>
                                <w:jc w:val="center"/>
                                <w:rPr>
                                  <w:rFonts w:asciiTheme="majorHAnsi" w:eastAsiaTheme="majorEastAsia" w:hAnsiTheme="majorHAnsi" w:cstheme="majorBidi"/>
                                  <w:b/>
                                  <w:color w:val="000000" w:themeColor="text1"/>
                                  <w:sz w:val="24"/>
                                  <w:szCs w:val="28"/>
                                </w:rPr>
                              </w:pPr>
                              <w:r w:rsidRPr="00C57025">
                                <w:rPr>
                                  <w:rFonts w:asciiTheme="majorHAnsi" w:eastAsiaTheme="majorEastAsia" w:hAnsiTheme="majorHAnsi" w:cstheme="majorBidi"/>
                                  <w:b/>
                                  <w:color w:val="000000" w:themeColor="text1"/>
                                  <w:sz w:val="24"/>
                                  <w:szCs w:val="28"/>
                                </w:rPr>
                                <w:t xml:space="preserve">Kenya School of Government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60407" y="70364"/>
                            <a:ext cx="3567447" cy="551592"/>
                          </a:xfrm>
                          <a:prstGeom prst="rect">
                            <a:avLst/>
                          </a:prstGeom>
                          <a:ln w="19050"/>
                        </wps:spPr>
                        <wps:style>
                          <a:lnRef idx="2">
                            <a:schemeClr val="accent6"/>
                          </a:lnRef>
                          <a:fillRef idx="1003">
                            <a:schemeClr val="lt1"/>
                          </a:fillRef>
                          <a:effectRef idx="0">
                            <a:schemeClr val="accent6"/>
                          </a:effectRef>
                          <a:fontRef idx="minor">
                            <a:schemeClr val="dk1"/>
                          </a:fontRef>
                        </wps:style>
                        <wps:txbx>
                          <w:txbxContent>
                            <w:p w14:paraId="0F071AE8" w14:textId="77777777" w:rsidR="00477F5B" w:rsidRPr="00E04EC5" w:rsidRDefault="00477F5B" w:rsidP="00E04EC5">
                              <w:r w:rsidRPr="00E04EC5">
                                <w:t>National Capacity Build</w:t>
                              </w:r>
                              <w:r>
                                <w:t>ing Framework (NCBF) rolled out – capacity strengthening for enhanced service delivery:</w:t>
                              </w:r>
                            </w:p>
                            <w:p w14:paraId="1E9FF18D" w14:textId="77777777" w:rsidR="00477F5B" w:rsidRPr="00E04EC5" w:rsidRDefault="00477F5B" w:rsidP="0075650A">
                              <w:pPr>
                                <w:pStyle w:val="ListParagraph"/>
                                <w:numPr>
                                  <w:ilvl w:val="0"/>
                                  <w:numId w:val="7"/>
                                </w:numPr>
                                <w:rPr>
                                  <w:caps/>
                                  <w:color w:val="5B9BD5" w:themeColor="accent1"/>
                                </w:rPr>
                              </w:pPr>
                              <w:r w:rsidRPr="00E04EC5">
                                <w:t>5 modules developed</w:t>
                              </w:r>
                              <w:r>
                                <w:t xml:space="preserve"> and launched </w:t>
                              </w:r>
                              <w:r w:rsidRPr="00E04EC5">
                                <w:t xml:space="preserve">- </w:t>
                              </w:r>
                              <w:r w:rsidRPr="00E04EC5">
                                <w:rPr>
                                  <w:rFonts w:cs="Times New Roman"/>
                                </w:rPr>
                                <w:t>County</w:t>
                              </w:r>
                              <w:r w:rsidRPr="00E04EC5">
                                <w:rPr>
                                  <w:rFonts w:cs="Times New Roman"/>
                                  <w:bCs/>
                                </w:rPr>
                                <w:t xml:space="preserve"> </w:t>
                              </w:r>
                              <w:r w:rsidRPr="00E04EC5">
                                <w:rPr>
                                  <w:rFonts w:cs="Times New Roman"/>
                                </w:rPr>
                                <w:t>planning; monitoring and evaluation; human resource management; performance</w:t>
                              </w:r>
                              <w:r w:rsidRPr="00E04EC5">
                                <w:rPr>
                                  <w:rFonts w:cs="Times New Roman"/>
                                  <w:bCs/>
                                </w:rPr>
                                <w:t xml:space="preserve"> management; leadership and management</w:t>
                              </w:r>
                            </w:p>
                            <w:p w14:paraId="79027BB2" w14:textId="77777777" w:rsidR="00477F5B" w:rsidRPr="00E04EC5" w:rsidRDefault="00477F5B" w:rsidP="0075650A">
                              <w:pPr>
                                <w:pStyle w:val="ListParagraph"/>
                                <w:numPr>
                                  <w:ilvl w:val="0"/>
                                  <w:numId w:val="7"/>
                                </w:numPr>
                                <w:rPr>
                                  <w:caps/>
                                  <w:color w:val="5B9BD5" w:themeColor="accent1"/>
                                </w:rPr>
                              </w:pPr>
                              <w:r w:rsidRPr="00E04EC5">
                                <w:rPr>
                                  <w:rFonts w:cs="Times New Roman"/>
                                  <w:bCs/>
                                </w:rPr>
                                <w:t>22</w:t>
                              </w:r>
                              <w:r>
                                <w:rPr>
                                  <w:rFonts w:cs="Times New Roman"/>
                                  <w:bCs/>
                                </w:rPr>
                                <w:t>2</w:t>
                              </w:r>
                              <w:r w:rsidRPr="00E04EC5">
                                <w:rPr>
                                  <w:rFonts w:cs="Times New Roman"/>
                                  <w:bCs/>
                                </w:rPr>
                                <w:t xml:space="preserve"> </w:t>
                              </w:r>
                              <w:proofErr w:type="spellStart"/>
                              <w:r w:rsidRPr="00E04EC5">
                                <w:rPr>
                                  <w:rFonts w:cs="Times New Roman"/>
                                  <w:bCs/>
                                </w:rPr>
                                <w:t>ToTs</w:t>
                              </w:r>
                              <w:proofErr w:type="spellEnd"/>
                              <w:r w:rsidRPr="00E04EC5">
                                <w:rPr>
                                  <w:rFonts w:cs="Times New Roman"/>
                                  <w:bCs/>
                                </w:rPr>
                                <w:t xml:space="preserve"> </w:t>
                              </w:r>
                              <w:r>
                                <w:rPr>
                                  <w:rFonts w:cs="Times New Roman"/>
                                  <w:bCs/>
                                </w:rPr>
                                <w:t>t</w:t>
                              </w:r>
                              <w:r w:rsidRPr="00E04EC5">
                                <w:rPr>
                                  <w:rFonts w:cs="Times New Roman"/>
                                  <w:bCs/>
                                </w:rPr>
                                <w:t xml:space="preserve">rained </w:t>
                              </w:r>
                              <w:r>
                                <w:rPr>
                                  <w:rFonts w:cs="Times New Roman"/>
                                  <w:bCs/>
                                </w:rPr>
                                <w:t xml:space="preserve">and certified </w:t>
                              </w:r>
                              <w:r w:rsidRPr="00E04EC5">
                                <w:rPr>
                                  <w:rFonts w:cs="Times New Roman"/>
                                  <w:bCs/>
                                </w:rPr>
                                <w:t xml:space="preserve">to support national and counties capacity building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7A009F" id="Group 198" o:spid="_x0000_s1033" style="position:absolute;left:0;text-align:left;margin-left:181.35pt;margin-top:103.1pt;width:300.8pt;height:153.45pt;z-index:251652096;mso-wrap-distance-left:14.4pt;mso-wrap-distance-top:3.6pt;mso-wrap-distance-right:14.4pt;mso-wrap-distance-bottom:3.6pt;mso-position-horizontal-relative:margin;mso-position-vertical-relative:margin;mso-width-relative:margin;mso-height-relative:margin" coordorigin="-604,-140" coordsize="35674,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">
                <v:rect id="Rectangle 199" o:spid="_x0000_s1034" style="position:absolute;left:-604;top:-140;width:35674;height:8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cLuMIA&#10;AADcAAAADwAAAGRycy9kb3ducmV2LnhtbERPTWvCQBC9F/wPywje6sZCSpO6ikgDbW8x4nncnSbB&#10;7GzIbmP013cLhd7m8T5nvZ1sJ0YafOtYwWqZgCDWzrRcKzhWxeMLCB+QDXaOScGNPGw3s4c15sZd&#10;uaTxEGoRQ9jnqKAJoc+l9Lohi37peuLIfbnBYohwqKUZ8BrDbSefkuRZWmw5NjTY074hfTl8WwUp&#10;f6Sf/nw/rcq39FKU+q61r5RazKfdK4hAU/gX/7nfTZyfZfD7TL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9wu4wgAAANwAAAAPAAAAAAAAAAAAAAAAAJgCAABkcnMvZG93&#10;bnJldi54bWxQSwUGAAAAAAQABAD1AAAAhwMAAAAA&#10;" fillcolor="#e7e6e6 [3203]" strokecolor="#70ad47 [3209]" strokeweight="1.5pt">
                  <v:textbox>
                    <w:txbxContent>
                      <w:p w:rsidR="00477F5B" w:rsidRPr="00C57025" w:rsidRDefault="00477F5B">
                        <w:pPr>
                          <w:jc w:val="center"/>
                          <w:rPr>
                            <w:rFonts w:asciiTheme="majorHAnsi" w:eastAsiaTheme="majorEastAsia" w:hAnsiTheme="majorHAnsi" w:cstheme="majorBidi"/>
                            <w:b/>
                            <w:color w:val="000000" w:themeColor="text1"/>
                            <w:sz w:val="24"/>
                            <w:szCs w:val="28"/>
                          </w:rPr>
                        </w:pPr>
                        <w:r w:rsidRPr="00C57025">
                          <w:rPr>
                            <w:rFonts w:asciiTheme="majorHAnsi" w:eastAsiaTheme="majorEastAsia" w:hAnsiTheme="majorHAnsi" w:cstheme="majorBidi"/>
                            <w:b/>
                            <w:color w:val="000000" w:themeColor="text1"/>
                            <w:sz w:val="24"/>
                            <w:szCs w:val="28"/>
                          </w:rPr>
                          <w:t xml:space="preserve">Kenya School of Government </w:t>
                        </w:r>
                      </w:p>
                    </w:txbxContent>
                  </v:textbox>
                </v:rect>
                <v:shape id="Text Box 200" o:spid="_x0000_s1035" type="#_x0000_t202" style="position:absolute;left:-604;top:703;width:35674;height:5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X2McYA&#10;AADcAAAADwAAAGRycy9kb3ducmV2LnhtbESPT2vCQBTE70K/w/KE3nSjBy3RVYpQkEJR4x/s7ZF9&#10;zaZm34bs1kQ/fbdQ8DjMzG+Y+bKzlbhS40vHCkbDBARx7nTJhYLD/m3wAsIHZI2VY1JwIw/LxVNv&#10;jql2Le/omoVCRAj7FBWYEOpUSp8bsuiHriaO3pdrLIYom0LqBtsIt5UcJ8lEWiw5LhisaWUov2Q/&#10;VsG9/ay+s9PhvP048lZON5Pz3bwr9dzvXmcgAnXhEf5vr7WCSIS/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X2McYAAADcAAAADwAAAAAAAAAAAAAAAACYAgAAZHJz&#10;L2Rvd25yZXYueG1sUEsFBgAAAAAEAAQA9QAAAIsDAAAAAA==&#10;" fillcolor="white [2993]" strokecolor="#70ad47 [3209]" strokeweight="1.5pt">
                  <v:fill color2="#a0a0a0 [2017]" rotate="t" colors="0 white;.5 #fbfbfb;1 #d0d0d0" focus="100%" type="gradient">
                    <o:fill v:ext="view" type="gradientUnscaled"/>
                  </v:fill>
                  <v:textbox inset=",7.2pt,,0">
                    <w:txbxContent>
                      <w:p w:rsidR="00477F5B" w:rsidRPr="00E04EC5" w:rsidRDefault="00477F5B" w:rsidP="00E04EC5">
                        <w:r w:rsidRPr="00E04EC5">
                          <w:t>National Capacity Build</w:t>
                        </w:r>
                        <w:r>
                          <w:t>ing Framework (NCBF) rolled out – capacity strengthening for enhanced service delivery:</w:t>
                        </w:r>
                      </w:p>
                      <w:p w:rsidR="00477F5B" w:rsidRPr="00E04EC5" w:rsidRDefault="00477F5B" w:rsidP="0075650A">
                        <w:pPr>
                          <w:pStyle w:val="ListParagraph"/>
                          <w:numPr>
                            <w:ilvl w:val="0"/>
                            <w:numId w:val="7"/>
                          </w:numPr>
                          <w:rPr>
                            <w:caps/>
                            <w:color w:val="5B9BD5" w:themeColor="accent1"/>
                          </w:rPr>
                        </w:pPr>
                        <w:r w:rsidRPr="00E04EC5">
                          <w:t>5 modules developed</w:t>
                        </w:r>
                        <w:r>
                          <w:t xml:space="preserve"> and launched </w:t>
                        </w:r>
                        <w:r w:rsidRPr="00E04EC5">
                          <w:t xml:space="preserve">- </w:t>
                        </w:r>
                        <w:r w:rsidRPr="00E04EC5">
                          <w:rPr>
                            <w:rFonts w:cs="Times New Roman"/>
                          </w:rPr>
                          <w:t>County</w:t>
                        </w:r>
                        <w:r w:rsidRPr="00E04EC5">
                          <w:rPr>
                            <w:rFonts w:cs="Times New Roman"/>
                            <w:bCs/>
                          </w:rPr>
                          <w:t xml:space="preserve"> </w:t>
                        </w:r>
                        <w:r w:rsidRPr="00E04EC5">
                          <w:rPr>
                            <w:rFonts w:cs="Times New Roman"/>
                          </w:rPr>
                          <w:t>planning; monitoring and evaluation; human resource management; performance</w:t>
                        </w:r>
                        <w:r w:rsidRPr="00E04EC5">
                          <w:rPr>
                            <w:rFonts w:cs="Times New Roman"/>
                            <w:bCs/>
                          </w:rPr>
                          <w:t xml:space="preserve"> management; leadership and management</w:t>
                        </w:r>
                      </w:p>
                      <w:p w:rsidR="00477F5B" w:rsidRPr="00E04EC5" w:rsidRDefault="00477F5B" w:rsidP="0075650A">
                        <w:pPr>
                          <w:pStyle w:val="ListParagraph"/>
                          <w:numPr>
                            <w:ilvl w:val="0"/>
                            <w:numId w:val="7"/>
                          </w:numPr>
                          <w:rPr>
                            <w:caps/>
                            <w:color w:val="5B9BD5" w:themeColor="accent1"/>
                          </w:rPr>
                        </w:pPr>
                        <w:r w:rsidRPr="00E04EC5">
                          <w:rPr>
                            <w:rFonts w:cs="Times New Roman"/>
                            <w:bCs/>
                          </w:rPr>
                          <w:t>22</w:t>
                        </w:r>
                        <w:r>
                          <w:rPr>
                            <w:rFonts w:cs="Times New Roman"/>
                            <w:bCs/>
                          </w:rPr>
                          <w:t>2</w:t>
                        </w:r>
                        <w:r w:rsidRPr="00E04EC5">
                          <w:rPr>
                            <w:rFonts w:cs="Times New Roman"/>
                            <w:bCs/>
                          </w:rPr>
                          <w:t xml:space="preserve"> ToTs </w:t>
                        </w:r>
                        <w:r>
                          <w:rPr>
                            <w:rFonts w:cs="Times New Roman"/>
                            <w:bCs/>
                          </w:rPr>
                          <w:t>t</w:t>
                        </w:r>
                        <w:r w:rsidRPr="00E04EC5">
                          <w:rPr>
                            <w:rFonts w:cs="Times New Roman"/>
                            <w:bCs/>
                          </w:rPr>
                          <w:t xml:space="preserve">rained </w:t>
                        </w:r>
                        <w:r>
                          <w:rPr>
                            <w:rFonts w:cs="Times New Roman"/>
                            <w:bCs/>
                          </w:rPr>
                          <w:t xml:space="preserve">and certified </w:t>
                        </w:r>
                        <w:r w:rsidRPr="00E04EC5">
                          <w:rPr>
                            <w:rFonts w:cs="Times New Roman"/>
                            <w:bCs/>
                          </w:rPr>
                          <w:t xml:space="preserve">to support national and counties capacity building </w:t>
                        </w:r>
                      </w:p>
                    </w:txbxContent>
                  </v:textbox>
                </v:shape>
                <w10:wrap type="square" anchorx="margin" anchory="margin"/>
              </v:group>
            </w:pict>
          </mc:Fallback>
        </mc:AlternateContent>
      </w:r>
      <w:r w:rsidR="005D3A6C" w:rsidRPr="00846B0F">
        <w:rPr>
          <w:rFonts w:cs="Times New Roman"/>
          <w:sz w:val="24"/>
          <w:szCs w:val="24"/>
        </w:rPr>
        <w:t xml:space="preserve">The KSG </w:t>
      </w:r>
      <w:r w:rsidR="00576E96" w:rsidRPr="00846B0F">
        <w:rPr>
          <w:rFonts w:cs="Times New Roman"/>
          <w:sz w:val="24"/>
          <w:szCs w:val="24"/>
        </w:rPr>
        <w:t>finalized and launched</w:t>
      </w:r>
      <w:r w:rsidR="0058332E" w:rsidRPr="00846B0F">
        <w:rPr>
          <w:rFonts w:cs="Times New Roman"/>
          <w:sz w:val="24"/>
          <w:szCs w:val="24"/>
        </w:rPr>
        <w:t xml:space="preserve"> </w:t>
      </w:r>
      <w:r w:rsidR="00645317" w:rsidRPr="00846B0F">
        <w:rPr>
          <w:rFonts w:cs="Times New Roman"/>
          <w:sz w:val="24"/>
          <w:szCs w:val="24"/>
        </w:rPr>
        <w:t xml:space="preserve">five </w:t>
      </w:r>
      <w:r w:rsidR="0058332E" w:rsidRPr="00846B0F">
        <w:rPr>
          <w:rFonts w:cs="Times New Roman"/>
          <w:sz w:val="24"/>
          <w:szCs w:val="24"/>
        </w:rPr>
        <w:t>county training curricula</w:t>
      </w:r>
      <w:r w:rsidR="009D6EF1" w:rsidRPr="00846B0F">
        <w:rPr>
          <w:rFonts w:cs="Times New Roman"/>
          <w:sz w:val="24"/>
          <w:szCs w:val="24"/>
        </w:rPr>
        <w:t xml:space="preserve"> </w:t>
      </w:r>
      <w:r w:rsidR="0058332E" w:rsidRPr="00846B0F">
        <w:rPr>
          <w:rFonts w:cs="Times New Roman"/>
          <w:sz w:val="24"/>
          <w:szCs w:val="24"/>
        </w:rPr>
        <w:t>under the</w:t>
      </w:r>
      <w:r w:rsidR="00645317" w:rsidRPr="00846B0F">
        <w:rPr>
          <w:rFonts w:cs="Times New Roman"/>
          <w:sz w:val="24"/>
          <w:szCs w:val="24"/>
        </w:rPr>
        <w:t xml:space="preserve"> NCBF. The modules developed include:</w:t>
      </w:r>
      <w:r w:rsidR="009D6EF1" w:rsidRPr="00846B0F">
        <w:rPr>
          <w:rFonts w:cs="Times New Roman"/>
          <w:sz w:val="24"/>
          <w:szCs w:val="24"/>
        </w:rPr>
        <w:t xml:space="preserve"> County</w:t>
      </w:r>
      <w:r w:rsidR="009D6EF1" w:rsidRPr="00846B0F">
        <w:rPr>
          <w:rFonts w:cs="Times New Roman"/>
          <w:bCs/>
          <w:sz w:val="24"/>
          <w:szCs w:val="24"/>
        </w:rPr>
        <w:t xml:space="preserve"> </w:t>
      </w:r>
      <w:r w:rsidR="009D6EF1" w:rsidRPr="00846B0F">
        <w:rPr>
          <w:rFonts w:cs="Times New Roman"/>
          <w:sz w:val="24"/>
          <w:szCs w:val="24"/>
        </w:rPr>
        <w:t>Planning; Monitoring and Evaluation; Human Resource Management; Performance</w:t>
      </w:r>
      <w:r w:rsidR="009D6EF1" w:rsidRPr="00846B0F">
        <w:rPr>
          <w:rFonts w:cs="Times New Roman"/>
          <w:bCs/>
          <w:sz w:val="24"/>
          <w:szCs w:val="24"/>
        </w:rPr>
        <w:t xml:space="preserve"> Management; Leadership and Management. </w:t>
      </w:r>
      <w:r w:rsidR="009D6EF1" w:rsidRPr="00846B0F">
        <w:rPr>
          <w:rFonts w:cs="Times New Roman"/>
          <w:sz w:val="24"/>
          <w:szCs w:val="24"/>
        </w:rPr>
        <w:t xml:space="preserve">The KSG </w:t>
      </w:r>
      <w:r w:rsidR="00576E96" w:rsidRPr="00846B0F">
        <w:rPr>
          <w:rFonts w:cs="Times New Roman"/>
          <w:sz w:val="24"/>
          <w:szCs w:val="24"/>
        </w:rPr>
        <w:t>also trained</w:t>
      </w:r>
      <w:r w:rsidR="0058332E" w:rsidRPr="00846B0F">
        <w:rPr>
          <w:rFonts w:cs="Times New Roman"/>
          <w:sz w:val="24"/>
          <w:szCs w:val="24"/>
        </w:rPr>
        <w:t xml:space="preserve"> 222</w:t>
      </w:r>
      <w:r w:rsidR="00660AD3" w:rsidRPr="00846B0F">
        <w:rPr>
          <w:rFonts w:cs="Times New Roman"/>
          <w:sz w:val="24"/>
          <w:szCs w:val="24"/>
        </w:rPr>
        <w:t xml:space="preserve"> </w:t>
      </w:r>
      <w:r w:rsidR="0058332E" w:rsidRPr="00846B0F">
        <w:rPr>
          <w:rFonts w:cs="Times New Roman"/>
          <w:sz w:val="24"/>
          <w:szCs w:val="24"/>
        </w:rPr>
        <w:t>Training of Trainers (</w:t>
      </w:r>
      <w:proofErr w:type="spellStart"/>
      <w:r w:rsidR="0058332E" w:rsidRPr="00846B0F">
        <w:rPr>
          <w:rFonts w:cs="Times New Roman"/>
          <w:sz w:val="24"/>
          <w:szCs w:val="24"/>
        </w:rPr>
        <w:t>ToTs</w:t>
      </w:r>
      <w:proofErr w:type="spellEnd"/>
      <w:r w:rsidR="0058332E" w:rsidRPr="00846B0F">
        <w:rPr>
          <w:rFonts w:cs="Times New Roman"/>
          <w:sz w:val="24"/>
          <w:szCs w:val="24"/>
        </w:rPr>
        <w:t>)</w:t>
      </w:r>
      <w:r w:rsidR="00645317" w:rsidRPr="00846B0F">
        <w:rPr>
          <w:rFonts w:cs="Times New Roman"/>
          <w:sz w:val="24"/>
          <w:szCs w:val="24"/>
        </w:rPr>
        <w:t xml:space="preserve"> </w:t>
      </w:r>
      <w:r w:rsidR="00660AD3" w:rsidRPr="00846B0F">
        <w:rPr>
          <w:rFonts w:cs="Times New Roman"/>
          <w:sz w:val="24"/>
          <w:szCs w:val="24"/>
        </w:rPr>
        <w:t xml:space="preserve">drawn from both national and county governments. The </w:t>
      </w:r>
      <w:proofErr w:type="spellStart"/>
      <w:r w:rsidR="00660AD3" w:rsidRPr="00846B0F">
        <w:rPr>
          <w:rFonts w:cs="Times New Roman"/>
          <w:sz w:val="24"/>
          <w:szCs w:val="24"/>
        </w:rPr>
        <w:t>T</w:t>
      </w:r>
      <w:r w:rsidR="00645317" w:rsidRPr="00846B0F">
        <w:rPr>
          <w:rFonts w:cs="Times New Roman"/>
          <w:sz w:val="24"/>
          <w:szCs w:val="24"/>
        </w:rPr>
        <w:t>o</w:t>
      </w:r>
      <w:r w:rsidR="00660AD3" w:rsidRPr="00846B0F">
        <w:rPr>
          <w:rFonts w:cs="Times New Roman"/>
          <w:sz w:val="24"/>
          <w:szCs w:val="24"/>
        </w:rPr>
        <w:t>Ts</w:t>
      </w:r>
      <w:proofErr w:type="spellEnd"/>
      <w:r w:rsidR="00660AD3" w:rsidRPr="00846B0F">
        <w:rPr>
          <w:rFonts w:cs="Times New Roman"/>
          <w:sz w:val="24"/>
          <w:szCs w:val="24"/>
        </w:rPr>
        <w:t xml:space="preserve"> </w:t>
      </w:r>
      <w:r w:rsidR="00866678" w:rsidRPr="00846B0F">
        <w:rPr>
          <w:rFonts w:cs="Times New Roman"/>
          <w:sz w:val="24"/>
          <w:szCs w:val="24"/>
        </w:rPr>
        <w:t>are supporting</w:t>
      </w:r>
      <w:r w:rsidR="009D6EF1" w:rsidRPr="00846B0F">
        <w:rPr>
          <w:rFonts w:cs="Times New Roman"/>
          <w:sz w:val="24"/>
          <w:szCs w:val="24"/>
        </w:rPr>
        <w:t xml:space="preserve"> </w:t>
      </w:r>
      <w:r w:rsidR="00645317" w:rsidRPr="00846B0F">
        <w:rPr>
          <w:rFonts w:cs="Times New Roman"/>
          <w:sz w:val="24"/>
          <w:szCs w:val="24"/>
        </w:rPr>
        <w:t>KSG</w:t>
      </w:r>
      <w:r w:rsidR="009D6EF1" w:rsidRPr="00846B0F">
        <w:rPr>
          <w:rFonts w:cs="Times New Roman"/>
          <w:sz w:val="24"/>
          <w:szCs w:val="24"/>
        </w:rPr>
        <w:t xml:space="preserve"> </w:t>
      </w:r>
      <w:r w:rsidR="00301E5C" w:rsidRPr="00846B0F">
        <w:rPr>
          <w:rFonts w:cs="Times New Roman"/>
          <w:sz w:val="24"/>
          <w:szCs w:val="24"/>
        </w:rPr>
        <w:t xml:space="preserve">to </w:t>
      </w:r>
      <w:r w:rsidR="009D6EF1" w:rsidRPr="00846B0F">
        <w:rPr>
          <w:rFonts w:cs="Times New Roman"/>
          <w:sz w:val="24"/>
          <w:szCs w:val="24"/>
        </w:rPr>
        <w:t>roll out the curricula to the counties</w:t>
      </w:r>
      <w:r w:rsidR="005D3A6C" w:rsidRPr="00846B0F">
        <w:rPr>
          <w:rFonts w:cs="Times New Roman"/>
          <w:sz w:val="24"/>
          <w:szCs w:val="24"/>
        </w:rPr>
        <w:t xml:space="preserve"> in order to enhance service delivery</w:t>
      </w:r>
      <w:r w:rsidR="009D6EF1" w:rsidRPr="00846B0F">
        <w:rPr>
          <w:rFonts w:cs="Times New Roman"/>
          <w:sz w:val="24"/>
          <w:szCs w:val="24"/>
        </w:rPr>
        <w:t xml:space="preserve">. </w:t>
      </w:r>
      <w:r w:rsidR="009D6EF1" w:rsidRPr="00846B0F">
        <w:rPr>
          <w:rFonts w:cs="Times New Roman"/>
          <w:bCs/>
          <w:sz w:val="24"/>
          <w:szCs w:val="24"/>
        </w:rPr>
        <w:t xml:space="preserve">The KSG will continue </w:t>
      </w:r>
      <w:r w:rsidR="00645317" w:rsidRPr="00846B0F">
        <w:rPr>
          <w:rFonts w:cs="Times New Roman"/>
          <w:bCs/>
          <w:sz w:val="24"/>
          <w:szCs w:val="24"/>
        </w:rPr>
        <w:t xml:space="preserve">in future </w:t>
      </w:r>
      <w:r w:rsidR="009D6EF1" w:rsidRPr="00846B0F">
        <w:rPr>
          <w:rFonts w:cs="Times New Roman"/>
          <w:bCs/>
          <w:sz w:val="24"/>
          <w:szCs w:val="24"/>
        </w:rPr>
        <w:t xml:space="preserve">to play a quality assurance role by certifying trainers across </w:t>
      </w:r>
      <w:r w:rsidR="009D6EF1" w:rsidRPr="00846B0F">
        <w:rPr>
          <w:rFonts w:cs="Times New Roman"/>
          <w:bCs/>
          <w:sz w:val="24"/>
          <w:szCs w:val="24"/>
        </w:rPr>
        <w:lastRenderedPageBreak/>
        <w:t xml:space="preserve">the </w:t>
      </w:r>
      <w:r w:rsidR="00654FA2" w:rsidRPr="00846B0F">
        <w:rPr>
          <w:rFonts w:cs="Times New Roman"/>
          <w:bCs/>
          <w:sz w:val="24"/>
          <w:szCs w:val="24"/>
        </w:rPr>
        <w:t>c</w:t>
      </w:r>
      <w:r w:rsidR="009D6EF1" w:rsidRPr="00846B0F">
        <w:rPr>
          <w:rFonts w:cs="Times New Roman"/>
          <w:bCs/>
          <w:sz w:val="24"/>
          <w:szCs w:val="24"/>
        </w:rPr>
        <w:t>ountry that can support counties in the delive</w:t>
      </w:r>
      <w:r w:rsidR="00645317" w:rsidRPr="00846B0F">
        <w:rPr>
          <w:rFonts w:cs="Times New Roman"/>
          <w:bCs/>
          <w:sz w:val="24"/>
          <w:szCs w:val="24"/>
        </w:rPr>
        <w:t>ry of training on a needs basis</w:t>
      </w:r>
      <w:r w:rsidR="009D6EF1" w:rsidRPr="00846B0F">
        <w:rPr>
          <w:rFonts w:cs="Times New Roman"/>
          <w:bCs/>
          <w:sz w:val="24"/>
          <w:szCs w:val="24"/>
        </w:rPr>
        <w:t xml:space="preserve">. </w:t>
      </w:r>
    </w:p>
    <w:p w14:paraId="5AC8D576" w14:textId="11E0AB99" w:rsidR="009D6EF1" w:rsidRPr="00846B0F" w:rsidRDefault="002348EE" w:rsidP="00363730">
      <w:pPr>
        <w:spacing w:after="0" w:line="276" w:lineRule="auto"/>
        <w:jc w:val="both"/>
        <w:rPr>
          <w:rFonts w:cs="Times New Roman"/>
          <w:bCs/>
          <w:sz w:val="24"/>
          <w:szCs w:val="24"/>
        </w:rPr>
      </w:pPr>
      <w:r w:rsidRPr="00846B0F">
        <w:rPr>
          <w:rFonts w:cs="Times New Roman"/>
          <w:bCs/>
          <w:noProof/>
          <w:sz w:val="24"/>
          <w:szCs w:val="24"/>
        </w:rPr>
        <mc:AlternateContent>
          <mc:Choice Requires="wps">
            <w:drawing>
              <wp:anchor distT="45720" distB="45720" distL="114300" distR="114300" simplePos="0" relativeHeight="251663360" behindDoc="0" locked="0" layoutInCell="1" allowOverlap="1" wp14:anchorId="2BD8F814" wp14:editId="4FE65717">
                <wp:simplePos x="0" y="0"/>
                <wp:positionH relativeFrom="margin">
                  <wp:posOffset>-62230</wp:posOffset>
                </wp:positionH>
                <wp:positionV relativeFrom="paragraph">
                  <wp:posOffset>191770</wp:posOffset>
                </wp:positionV>
                <wp:extent cx="3917950" cy="3322320"/>
                <wp:effectExtent l="19050" t="19050" r="2540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0" cy="3322320"/>
                        </a:xfrm>
                        <a:prstGeom prst="rect">
                          <a:avLst/>
                        </a:prstGeom>
                        <a:ln w="28575">
                          <a:solidFill>
                            <a:schemeClr val="accent6">
                              <a:lumMod val="60000"/>
                              <a:lumOff val="40000"/>
                            </a:schemeClr>
                          </a:solidFill>
                          <a:miter lim="800000"/>
                          <a:headEnd/>
                          <a:tailEnd/>
                        </a:ln>
                      </wps:spPr>
                      <wps:style>
                        <a:lnRef idx="0">
                          <a:scrgbClr r="0" g="0" b="0"/>
                        </a:lnRef>
                        <a:fillRef idx="1003">
                          <a:schemeClr val="lt1"/>
                        </a:fillRef>
                        <a:effectRef idx="0">
                          <a:scrgbClr r="0" g="0" b="0"/>
                        </a:effectRef>
                        <a:fontRef idx="major"/>
                      </wps:style>
                      <wps:txbx>
                        <w:txbxContent>
                          <w:p w14:paraId="77D2F18C" w14:textId="77777777" w:rsidR="00477F5B" w:rsidRPr="00C57025" w:rsidRDefault="00477F5B" w:rsidP="006A7927">
                            <w:pPr>
                              <w:spacing w:after="0" w:line="240" w:lineRule="auto"/>
                              <w:jc w:val="center"/>
                              <w:rPr>
                                <w:b/>
                                <w:color w:val="000000" w:themeColor="text1"/>
                                <w:sz w:val="20"/>
                                <w:szCs w:val="20"/>
                              </w:rPr>
                            </w:pPr>
                            <w:r w:rsidRPr="00C57025">
                              <w:rPr>
                                <w:b/>
                                <w:color w:val="000000" w:themeColor="text1"/>
                                <w:sz w:val="20"/>
                                <w:szCs w:val="20"/>
                              </w:rPr>
                              <w:t>High Level Coun</w:t>
                            </w:r>
                            <w:r>
                              <w:rPr>
                                <w:b/>
                                <w:color w:val="000000" w:themeColor="text1"/>
                                <w:sz w:val="20"/>
                                <w:szCs w:val="20"/>
                              </w:rPr>
                              <w:t>cil</w:t>
                            </w:r>
                            <w:r w:rsidRPr="00C57025">
                              <w:rPr>
                                <w:b/>
                                <w:color w:val="000000" w:themeColor="text1"/>
                                <w:sz w:val="20"/>
                                <w:szCs w:val="20"/>
                              </w:rPr>
                              <w:t xml:space="preserve"> of Governors Council Meeting</w:t>
                            </w:r>
                          </w:p>
                          <w:p w14:paraId="72899266" w14:textId="77777777" w:rsidR="00477F5B" w:rsidRPr="008E61A9" w:rsidRDefault="00477F5B" w:rsidP="008E61A9">
                            <w:pPr>
                              <w:spacing w:after="0" w:line="240" w:lineRule="auto"/>
                              <w:rPr>
                                <w:sz w:val="20"/>
                                <w:szCs w:val="20"/>
                              </w:rPr>
                            </w:pPr>
                            <w:r w:rsidRPr="008E61A9">
                              <w:rPr>
                                <w:sz w:val="20"/>
                                <w:szCs w:val="20"/>
                              </w:rPr>
                              <w:t>Key Outcomes:</w:t>
                            </w:r>
                          </w:p>
                          <w:p w14:paraId="22C24DB7" w14:textId="77777777" w:rsidR="00477F5B" w:rsidRPr="008E61A9" w:rsidRDefault="00477F5B" w:rsidP="0075650A">
                            <w:pPr>
                              <w:pStyle w:val="ListParagraph"/>
                              <w:numPr>
                                <w:ilvl w:val="0"/>
                                <w:numId w:val="9"/>
                              </w:numPr>
                              <w:spacing w:after="0" w:line="240" w:lineRule="auto"/>
                              <w:ind w:left="360"/>
                              <w:rPr>
                                <w:sz w:val="20"/>
                                <w:szCs w:val="20"/>
                              </w:rPr>
                            </w:pPr>
                            <w:r w:rsidRPr="008E61A9">
                              <w:rPr>
                                <w:sz w:val="20"/>
                                <w:szCs w:val="20"/>
                              </w:rPr>
                              <w:t>Governors commit</w:t>
                            </w:r>
                            <w:r>
                              <w:rPr>
                                <w:sz w:val="20"/>
                                <w:szCs w:val="20"/>
                              </w:rPr>
                              <w:t>ted</w:t>
                            </w:r>
                            <w:r w:rsidRPr="008E61A9">
                              <w:rPr>
                                <w:sz w:val="20"/>
                                <w:szCs w:val="20"/>
                              </w:rPr>
                              <w:t xml:space="preserve"> to:</w:t>
                            </w:r>
                          </w:p>
                          <w:p w14:paraId="132C264C" w14:textId="77777777" w:rsidR="00477F5B" w:rsidRPr="008E61A9" w:rsidRDefault="00477F5B" w:rsidP="0075650A">
                            <w:pPr>
                              <w:pStyle w:val="ListParagraph"/>
                              <w:numPr>
                                <w:ilvl w:val="0"/>
                                <w:numId w:val="8"/>
                              </w:numPr>
                              <w:spacing w:after="0" w:line="240" w:lineRule="auto"/>
                              <w:rPr>
                                <w:sz w:val="20"/>
                                <w:szCs w:val="20"/>
                              </w:rPr>
                            </w:pPr>
                            <w:r w:rsidRPr="008E61A9">
                              <w:rPr>
                                <w:rFonts w:cs="Times New Roman"/>
                                <w:bCs/>
                                <w:sz w:val="20"/>
                                <w:szCs w:val="20"/>
                              </w:rPr>
                              <w:t xml:space="preserve">Provision of essential services at lowest possible prices - healthcare, clean water, sanitation services, and improved infrastructure </w:t>
                            </w:r>
                          </w:p>
                          <w:p w14:paraId="1FC5E9A8" w14:textId="77777777" w:rsidR="00477F5B" w:rsidRPr="008E61A9" w:rsidRDefault="00477F5B" w:rsidP="0075650A">
                            <w:pPr>
                              <w:pStyle w:val="ListParagraph"/>
                              <w:numPr>
                                <w:ilvl w:val="0"/>
                                <w:numId w:val="8"/>
                              </w:numPr>
                              <w:spacing w:after="0" w:line="240" w:lineRule="auto"/>
                              <w:rPr>
                                <w:sz w:val="20"/>
                                <w:szCs w:val="20"/>
                              </w:rPr>
                            </w:pPr>
                            <w:r w:rsidRPr="008E61A9">
                              <w:rPr>
                                <w:rFonts w:cs="Times New Roman"/>
                                <w:bCs/>
                                <w:sz w:val="20"/>
                                <w:szCs w:val="20"/>
                              </w:rPr>
                              <w:t xml:space="preserve">Fast track operationalization of county financial and human resource systems </w:t>
                            </w:r>
                          </w:p>
                          <w:p w14:paraId="06A1A6C7" w14:textId="77777777" w:rsidR="00477F5B" w:rsidRPr="008E61A9" w:rsidRDefault="00477F5B" w:rsidP="0075650A">
                            <w:pPr>
                              <w:pStyle w:val="ListParagraph"/>
                              <w:numPr>
                                <w:ilvl w:val="0"/>
                                <w:numId w:val="8"/>
                              </w:numPr>
                              <w:spacing w:after="0" w:line="240" w:lineRule="auto"/>
                              <w:rPr>
                                <w:sz w:val="20"/>
                                <w:szCs w:val="20"/>
                              </w:rPr>
                            </w:pPr>
                            <w:r w:rsidRPr="008E61A9">
                              <w:rPr>
                                <w:rFonts w:cs="Times New Roman"/>
                                <w:bCs/>
                                <w:sz w:val="20"/>
                                <w:szCs w:val="20"/>
                              </w:rPr>
                              <w:t>Improved public participation in legislation and policy making</w:t>
                            </w:r>
                          </w:p>
                          <w:p w14:paraId="0287E47B" w14:textId="77777777" w:rsidR="00477F5B" w:rsidRPr="008E61A9" w:rsidRDefault="00477F5B" w:rsidP="0075650A">
                            <w:pPr>
                              <w:pStyle w:val="ListParagraph"/>
                              <w:numPr>
                                <w:ilvl w:val="0"/>
                                <w:numId w:val="8"/>
                              </w:numPr>
                              <w:spacing w:after="0" w:line="240" w:lineRule="auto"/>
                              <w:rPr>
                                <w:sz w:val="20"/>
                                <w:szCs w:val="20"/>
                              </w:rPr>
                            </w:pPr>
                            <w:r w:rsidRPr="008E61A9">
                              <w:rPr>
                                <w:rFonts w:cs="Times New Roman"/>
                                <w:bCs/>
                                <w:sz w:val="20"/>
                                <w:szCs w:val="20"/>
                              </w:rPr>
                              <w:t>Marginalized Groups be supported for tendering for supply of goods and services</w:t>
                            </w:r>
                          </w:p>
                          <w:p w14:paraId="32550166" w14:textId="77777777" w:rsidR="00477F5B" w:rsidRPr="008E61A9" w:rsidRDefault="00477F5B" w:rsidP="0075650A">
                            <w:pPr>
                              <w:pStyle w:val="ListParagraph"/>
                              <w:numPr>
                                <w:ilvl w:val="0"/>
                                <w:numId w:val="8"/>
                              </w:numPr>
                              <w:spacing w:after="0" w:line="240" w:lineRule="auto"/>
                              <w:rPr>
                                <w:sz w:val="20"/>
                                <w:szCs w:val="20"/>
                              </w:rPr>
                            </w:pPr>
                            <w:r w:rsidRPr="008E61A9">
                              <w:rPr>
                                <w:rFonts w:cs="Times New Roman"/>
                                <w:bCs/>
                                <w:sz w:val="20"/>
                                <w:szCs w:val="20"/>
                              </w:rPr>
                              <w:t>Openness, transparency and fairness of duty bearers</w:t>
                            </w:r>
                          </w:p>
                          <w:p w14:paraId="0223812D" w14:textId="77777777" w:rsidR="00477F5B" w:rsidRPr="008E61A9" w:rsidRDefault="00477F5B" w:rsidP="008E61A9">
                            <w:pPr>
                              <w:pStyle w:val="ListParagraph"/>
                              <w:spacing w:after="0" w:line="240" w:lineRule="auto"/>
                              <w:rPr>
                                <w:sz w:val="20"/>
                                <w:szCs w:val="20"/>
                              </w:rPr>
                            </w:pPr>
                          </w:p>
                          <w:p w14:paraId="271F3AAB" w14:textId="77777777" w:rsidR="00477F5B" w:rsidRPr="008E61A9" w:rsidRDefault="00477F5B" w:rsidP="0075650A">
                            <w:pPr>
                              <w:pStyle w:val="ListParagraph"/>
                              <w:numPr>
                                <w:ilvl w:val="0"/>
                                <w:numId w:val="9"/>
                              </w:numPr>
                              <w:spacing w:after="0" w:line="240" w:lineRule="auto"/>
                              <w:ind w:left="360"/>
                              <w:rPr>
                                <w:sz w:val="20"/>
                                <w:szCs w:val="20"/>
                              </w:rPr>
                            </w:pPr>
                            <w:r>
                              <w:rPr>
                                <w:rFonts w:cs="Times New Roman"/>
                                <w:bCs/>
                                <w:sz w:val="20"/>
                                <w:szCs w:val="20"/>
                              </w:rPr>
                              <w:t>Regional bloc</w:t>
                            </w:r>
                            <w:r w:rsidRPr="008E61A9">
                              <w:rPr>
                                <w:rFonts w:cs="Times New Roman"/>
                                <w:bCs/>
                                <w:sz w:val="20"/>
                                <w:szCs w:val="20"/>
                              </w:rPr>
                              <w:t>s concept endorsed for:</w:t>
                            </w:r>
                          </w:p>
                          <w:p w14:paraId="741A891D" w14:textId="77777777" w:rsidR="00477F5B" w:rsidRPr="009C683C" w:rsidRDefault="00477F5B" w:rsidP="0075650A">
                            <w:pPr>
                              <w:pStyle w:val="ListParagraph"/>
                              <w:numPr>
                                <w:ilvl w:val="0"/>
                                <w:numId w:val="8"/>
                              </w:numPr>
                              <w:spacing w:after="0" w:line="240" w:lineRule="auto"/>
                              <w:rPr>
                                <w:sz w:val="20"/>
                                <w:szCs w:val="20"/>
                              </w:rPr>
                            </w:pPr>
                            <w:r w:rsidRPr="009C683C">
                              <w:rPr>
                                <w:rFonts w:cs="Times New Roman"/>
                                <w:bCs/>
                                <w:sz w:val="20"/>
                                <w:szCs w:val="20"/>
                              </w:rPr>
                              <w:t xml:space="preserve">Pooling resources for regional strategic initiatives, </w:t>
                            </w:r>
                            <w:r>
                              <w:rPr>
                                <w:rFonts w:cs="Times New Roman"/>
                                <w:bCs/>
                                <w:sz w:val="20"/>
                                <w:szCs w:val="20"/>
                              </w:rPr>
                              <w:t>e</w:t>
                            </w:r>
                            <w:r w:rsidRPr="009C683C">
                              <w:rPr>
                                <w:rFonts w:cs="Times New Roman"/>
                                <w:bCs/>
                                <w:sz w:val="20"/>
                                <w:szCs w:val="20"/>
                              </w:rPr>
                              <w:t xml:space="preserve">conomies </w:t>
                            </w:r>
                            <w:r w:rsidRPr="009C683C">
                              <w:rPr>
                                <w:sz w:val="20"/>
                                <w:szCs w:val="20"/>
                              </w:rPr>
                              <w:t>of scale, expanded consumer markets and business opportunities</w:t>
                            </w:r>
                          </w:p>
                          <w:p w14:paraId="390B09F5" w14:textId="77777777" w:rsidR="00477F5B" w:rsidRPr="008E61A9" w:rsidRDefault="00477F5B" w:rsidP="0075650A">
                            <w:pPr>
                              <w:pStyle w:val="ListParagraph"/>
                              <w:numPr>
                                <w:ilvl w:val="0"/>
                                <w:numId w:val="8"/>
                              </w:numPr>
                              <w:spacing w:after="0" w:line="240" w:lineRule="auto"/>
                              <w:rPr>
                                <w:sz w:val="20"/>
                                <w:szCs w:val="20"/>
                              </w:rPr>
                            </w:pPr>
                            <w:r>
                              <w:rPr>
                                <w:sz w:val="20"/>
                                <w:szCs w:val="20"/>
                              </w:rPr>
                              <w:t xml:space="preserve">Existing </w:t>
                            </w:r>
                            <w:r>
                              <w:rPr>
                                <w:rFonts w:cs="Times New Roman"/>
                                <w:bCs/>
                                <w:sz w:val="20"/>
                                <w:szCs w:val="20"/>
                              </w:rPr>
                              <w:t>bloc</w:t>
                            </w:r>
                            <w:r w:rsidRPr="008E61A9">
                              <w:rPr>
                                <w:rFonts w:cs="Times New Roman"/>
                                <w:bCs/>
                                <w:sz w:val="20"/>
                                <w:szCs w:val="20"/>
                              </w:rPr>
                              <w:t xml:space="preserve">s - </w:t>
                            </w:r>
                            <w:proofErr w:type="spellStart"/>
                            <w:r w:rsidRPr="008E61A9">
                              <w:rPr>
                                <w:rFonts w:cs="Times New Roman"/>
                                <w:bCs/>
                                <w:sz w:val="20"/>
                                <w:szCs w:val="20"/>
                              </w:rPr>
                              <w:t>Jumuiya</w:t>
                            </w:r>
                            <w:proofErr w:type="spellEnd"/>
                            <w:r w:rsidRPr="008E61A9">
                              <w:rPr>
                                <w:rFonts w:cs="Times New Roman"/>
                                <w:bCs/>
                                <w:sz w:val="20"/>
                                <w:szCs w:val="20"/>
                              </w:rPr>
                              <w:t xml:space="preserve"> </w:t>
                            </w:r>
                            <w:proofErr w:type="spellStart"/>
                            <w:r w:rsidRPr="008E61A9">
                              <w:rPr>
                                <w:rFonts w:cs="Times New Roman"/>
                                <w:bCs/>
                                <w:sz w:val="20"/>
                                <w:szCs w:val="20"/>
                              </w:rPr>
                              <w:t>ya</w:t>
                            </w:r>
                            <w:proofErr w:type="spellEnd"/>
                            <w:r w:rsidRPr="008E61A9">
                              <w:rPr>
                                <w:rFonts w:cs="Times New Roman"/>
                                <w:bCs/>
                                <w:sz w:val="20"/>
                                <w:szCs w:val="20"/>
                              </w:rPr>
                              <w:t xml:space="preserve"> </w:t>
                            </w:r>
                            <w:proofErr w:type="spellStart"/>
                            <w:r w:rsidRPr="008E61A9">
                              <w:rPr>
                                <w:rFonts w:cs="Times New Roman"/>
                                <w:bCs/>
                                <w:sz w:val="20"/>
                                <w:szCs w:val="20"/>
                              </w:rPr>
                              <w:t>Pwani</w:t>
                            </w:r>
                            <w:proofErr w:type="spellEnd"/>
                            <w:r w:rsidRPr="008E61A9">
                              <w:rPr>
                                <w:rFonts w:cs="Times New Roman"/>
                                <w:bCs/>
                                <w:sz w:val="20"/>
                                <w:szCs w:val="20"/>
                              </w:rPr>
                              <w:t>, Mt.</w:t>
                            </w:r>
                            <w:r>
                              <w:rPr>
                                <w:rFonts w:cs="Times New Roman"/>
                                <w:bCs/>
                                <w:sz w:val="20"/>
                                <w:szCs w:val="20"/>
                              </w:rPr>
                              <w:t xml:space="preserve"> </w:t>
                            </w:r>
                            <w:r w:rsidRPr="008E61A9">
                              <w:rPr>
                                <w:rFonts w:cs="Times New Roman"/>
                                <w:bCs/>
                                <w:sz w:val="20"/>
                                <w:szCs w:val="20"/>
                              </w:rPr>
                              <w:t xml:space="preserve">Kenya and </w:t>
                            </w:r>
                            <w:proofErr w:type="spellStart"/>
                            <w:r w:rsidRPr="008E61A9">
                              <w:rPr>
                                <w:rFonts w:cs="Times New Roman"/>
                                <w:bCs/>
                                <w:sz w:val="20"/>
                                <w:szCs w:val="20"/>
                              </w:rPr>
                              <w:t>Aberdares</w:t>
                            </w:r>
                            <w:proofErr w:type="spellEnd"/>
                            <w:r w:rsidRPr="008E61A9">
                              <w:rPr>
                                <w:rFonts w:cs="Times New Roman"/>
                                <w:bCs/>
                                <w:sz w:val="20"/>
                                <w:szCs w:val="20"/>
                              </w:rPr>
                              <w:t xml:space="preserve"> R</w:t>
                            </w:r>
                            <w:r>
                              <w:rPr>
                                <w:rFonts w:cs="Times New Roman"/>
                                <w:bCs/>
                                <w:sz w:val="20"/>
                                <w:szCs w:val="20"/>
                              </w:rPr>
                              <w:t>egion, North Rift Economic Bloc</w:t>
                            </w:r>
                            <w:r w:rsidRPr="008E61A9">
                              <w:rPr>
                                <w:rFonts w:cs="Times New Roman"/>
                                <w:bCs/>
                                <w:sz w:val="20"/>
                                <w:szCs w:val="20"/>
                              </w:rPr>
                              <w:t>, Northern Blo</w:t>
                            </w:r>
                            <w:r>
                              <w:rPr>
                                <w:rFonts w:cs="Times New Roman"/>
                                <w:bCs/>
                                <w:sz w:val="20"/>
                                <w:szCs w:val="20"/>
                              </w:rPr>
                              <w:t>c and Lake Basin Economic Bloc</w:t>
                            </w:r>
                          </w:p>
                          <w:p w14:paraId="7789CF8C" w14:textId="77777777" w:rsidR="00477F5B" w:rsidRPr="008E61A9" w:rsidRDefault="00477F5B">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8F814" id="Text Box 2" o:spid="_x0000_s1036" type="#_x0000_t202" style="position:absolute;left:0;text-align:left;margin-left:-4.9pt;margin-top:15.1pt;width:308.5pt;height:261.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" fillcolor="white [2993]" strokecolor="#a8d08d [1945]" strokeweight="2.25pt">
                <v:fill color2="#a0a0a0 [2017]" rotate="t" colors="0 white;.5 #fbfbfb;1 #d0d0d0" focus="100%" type="gradient">
                  <o:fill v:ext="view" type="gradientUnscaled"/>
                </v:fill>
                <v:textbox>
                  <w:txbxContent>
                    <w:p w14:paraId="77D2F18C" w14:textId="77777777" w:rsidR="00477F5B" w:rsidRPr="00C57025" w:rsidRDefault="00477F5B" w:rsidP="006A7927">
                      <w:pPr>
                        <w:spacing w:after="0" w:line="240" w:lineRule="auto"/>
                        <w:jc w:val="center"/>
                        <w:rPr>
                          <w:b/>
                          <w:color w:val="000000" w:themeColor="text1"/>
                          <w:sz w:val="20"/>
                          <w:szCs w:val="20"/>
                        </w:rPr>
                      </w:pPr>
                      <w:r w:rsidRPr="00C57025">
                        <w:rPr>
                          <w:b/>
                          <w:color w:val="000000" w:themeColor="text1"/>
                          <w:sz w:val="20"/>
                          <w:szCs w:val="20"/>
                        </w:rPr>
                        <w:t>High Level Coun</w:t>
                      </w:r>
                      <w:r>
                        <w:rPr>
                          <w:b/>
                          <w:color w:val="000000" w:themeColor="text1"/>
                          <w:sz w:val="20"/>
                          <w:szCs w:val="20"/>
                        </w:rPr>
                        <w:t>cil</w:t>
                      </w:r>
                      <w:r w:rsidRPr="00C57025">
                        <w:rPr>
                          <w:b/>
                          <w:color w:val="000000" w:themeColor="text1"/>
                          <w:sz w:val="20"/>
                          <w:szCs w:val="20"/>
                        </w:rPr>
                        <w:t xml:space="preserve"> of Governors Council Meeting</w:t>
                      </w:r>
                    </w:p>
                    <w:p w14:paraId="72899266" w14:textId="77777777" w:rsidR="00477F5B" w:rsidRPr="008E61A9" w:rsidRDefault="00477F5B" w:rsidP="008E61A9">
                      <w:pPr>
                        <w:spacing w:after="0" w:line="240" w:lineRule="auto"/>
                        <w:rPr>
                          <w:sz w:val="20"/>
                          <w:szCs w:val="20"/>
                        </w:rPr>
                      </w:pPr>
                      <w:r w:rsidRPr="008E61A9">
                        <w:rPr>
                          <w:sz w:val="20"/>
                          <w:szCs w:val="20"/>
                        </w:rPr>
                        <w:t>Key Outcomes:</w:t>
                      </w:r>
                    </w:p>
                    <w:p w14:paraId="22C24DB7" w14:textId="77777777" w:rsidR="00477F5B" w:rsidRPr="008E61A9" w:rsidRDefault="00477F5B" w:rsidP="0075650A">
                      <w:pPr>
                        <w:pStyle w:val="ListParagraph"/>
                        <w:numPr>
                          <w:ilvl w:val="0"/>
                          <w:numId w:val="9"/>
                        </w:numPr>
                        <w:spacing w:after="0" w:line="240" w:lineRule="auto"/>
                        <w:ind w:left="360"/>
                        <w:rPr>
                          <w:sz w:val="20"/>
                          <w:szCs w:val="20"/>
                        </w:rPr>
                      </w:pPr>
                      <w:r w:rsidRPr="008E61A9">
                        <w:rPr>
                          <w:sz w:val="20"/>
                          <w:szCs w:val="20"/>
                        </w:rPr>
                        <w:t>Governors commit</w:t>
                      </w:r>
                      <w:r>
                        <w:rPr>
                          <w:sz w:val="20"/>
                          <w:szCs w:val="20"/>
                        </w:rPr>
                        <w:t>ted</w:t>
                      </w:r>
                      <w:r w:rsidRPr="008E61A9">
                        <w:rPr>
                          <w:sz w:val="20"/>
                          <w:szCs w:val="20"/>
                        </w:rPr>
                        <w:t xml:space="preserve"> to:</w:t>
                      </w:r>
                    </w:p>
                    <w:p w14:paraId="132C264C" w14:textId="77777777" w:rsidR="00477F5B" w:rsidRPr="008E61A9" w:rsidRDefault="00477F5B" w:rsidP="0075650A">
                      <w:pPr>
                        <w:pStyle w:val="ListParagraph"/>
                        <w:numPr>
                          <w:ilvl w:val="0"/>
                          <w:numId w:val="8"/>
                        </w:numPr>
                        <w:spacing w:after="0" w:line="240" w:lineRule="auto"/>
                        <w:rPr>
                          <w:sz w:val="20"/>
                          <w:szCs w:val="20"/>
                        </w:rPr>
                      </w:pPr>
                      <w:r w:rsidRPr="008E61A9">
                        <w:rPr>
                          <w:rFonts w:cs="Times New Roman"/>
                          <w:bCs/>
                          <w:sz w:val="20"/>
                          <w:szCs w:val="20"/>
                        </w:rPr>
                        <w:t xml:space="preserve">Provision of essential services at lowest possible prices - healthcare, clean water, sanitation services, and improved infrastructure </w:t>
                      </w:r>
                    </w:p>
                    <w:p w14:paraId="1FC5E9A8" w14:textId="77777777" w:rsidR="00477F5B" w:rsidRPr="008E61A9" w:rsidRDefault="00477F5B" w:rsidP="0075650A">
                      <w:pPr>
                        <w:pStyle w:val="ListParagraph"/>
                        <w:numPr>
                          <w:ilvl w:val="0"/>
                          <w:numId w:val="8"/>
                        </w:numPr>
                        <w:spacing w:after="0" w:line="240" w:lineRule="auto"/>
                        <w:rPr>
                          <w:sz w:val="20"/>
                          <w:szCs w:val="20"/>
                        </w:rPr>
                      </w:pPr>
                      <w:r w:rsidRPr="008E61A9">
                        <w:rPr>
                          <w:rFonts w:cs="Times New Roman"/>
                          <w:bCs/>
                          <w:sz w:val="20"/>
                          <w:szCs w:val="20"/>
                        </w:rPr>
                        <w:t xml:space="preserve">Fast track operationalization of county financial and human resource systems </w:t>
                      </w:r>
                    </w:p>
                    <w:p w14:paraId="06A1A6C7" w14:textId="77777777" w:rsidR="00477F5B" w:rsidRPr="008E61A9" w:rsidRDefault="00477F5B" w:rsidP="0075650A">
                      <w:pPr>
                        <w:pStyle w:val="ListParagraph"/>
                        <w:numPr>
                          <w:ilvl w:val="0"/>
                          <w:numId w:val="8"/>
                        </w:numPr>
                        <w:spacing w:after="0" w:line="240" w:lineRule="auto"/>
                        <w:rPr>
                          <w:sz w:val="20"/>
                          <w:szCs w:val="20"/>
                        </w:rPr>
                      </w:pPr>
                      <w:r w:rsidRPr="008E61A9">
                        <w:rPr>
                          <w:rFonts w:cs="Times New Roman"/>
                          <w:bCs/>
                          <w:sz w:val="20"/>
                          <w:szCs w:val="20"/>
                        </w:rPr>
                        <w:t>Improved public participation in legislation and policy making</w:t>
                      </w:r>
                    </w:p>
                    <w:p w14:paraId="0287E47B" w14:textId="77777777" w:rsidR="00477F5B" w:rsidRPr="008E61A9" w:rsidRDefault="00477F5B" w:rsidP="0075650A">
                      <w:pPr>
                        <w:pStyle w:val="ListParagraph"/>
                        <w:numPr>
                          <w:ilvl w:val="0"/>
                          <w:numId w:val="8"/>
                        </w:numPr>
                        <w:spacing w:after="0" w:line="240" w:lineRule="auto"/>
                        <w:rPr>
                          <w:sz w:val="20"/>
                          <w:szCs w:val="20"/>
                        </w:rPr>
                      </w:pPr>
                      <w:r w:rsidRPr="008E61A9">
                        <w:rPr>
                          <w:rFonts w:cs="Times New Roman"/>
                          <w:bCs/>
                          <w:sz w:val="20"/>
                          <w:szCs w:val="20"/>
                        </w:rPr>
                        <w:t>Marginalized Groups be supported for tendering for supply of goods and services</w:t>
                      </w:r>
                    </w:p>
                    <w:p w14:paraId="32550166" w14:textId="77777777" w:rsidR="00477F5B" w:rsidRPr="008E61A9" w:rsidRDefault="00477F5B" w:rsidP="0075650A">
                      <w:pPr>
                        <w:pStyle w:val="ListParagraph"/>
                        <w:numPr>
                          <w:ilvl w:val="0"/>
                          <w:numId w:val="8"/>
                        </w:numPr>
                        <w:spacing w:after="0" w:line="240" w:lineRule="auto"/>
                        <w:rPr>
                          <w:sz w:val="20"/>
                          <w:szCs w:val="20"/>
                        </w:rPr>
                      </w:pPr>
                      <w:r w:rsidRPr="008E61A9">
                        <w:rPr>
                          <w:rFonts w:cs="Times New Roman"/>
                          <w:bCs/>
                          <w:sz w:val="20"/>
                          <w:szCs w:val="20"/>
                        </w:rPr>
                        <w:t>Openness, transparency and fairness of duty bearers</w:t>
                      </w:r>
                    </w:p>
                    <w:p w14:paraId="0223812D" w14:textId="77777777" w:rsidR="00477F5B" w:rsidRPr="008E61A9" w:rsidRDefault="00477F5B" w:rsidP="008E61A9">
                      <w:pPr>
                        <w:pStyle w:val="ListParagraph"/>
                        <w:spacing w:after="0" w:line="240" w:lineRule="auto"/>
                        <w:rPr>
                          <w:sz w:val="20"/>
                          <w:szCs w:val="20"/>
                        </w:rPr>
                      </w:pPr>
                    </w:p>
                    <w:p w14:paraId="271F3AAB" w14:textId="77777777" w:rsidR="00477F5B" w:rsidRPr="008E61A9" w:rsidRDefault="00477F5B" w:rsidP="0075650A">
                      <w:pPr>
                        <w:pStyle w:val="ListParagraph"/>
                        <w:numPr>
                          <w:ilvl w:val="0"/>
                          <w:numId w:val="9"/>
                        </w:numPr>
                        <w:spacing w:after="0" w:line="240" w:lineRule="auto"/>
                        <w:ind w:left="360"/>
                        <w:rPr>
                          <w:sz w:val="20"/>
                          <w:szCs w:val="20"/>
                        </w:rPr>
                      </w:pPr>
                      <w:r>
                        <w:rPr>
                          <w:rFonts w:cs="Times New Roman"/>
                          <w:bCs/>
                          <w:sz w:val="20"/>
                          <w:szCs w:val="20"/>
                        </w:rPr>
                        <w:t>Regional bloc</w:t>
                      </w:r>
                      <w:r w:rsidRPr="008E61A9">
                        <w:rPr>
                          <w:rFonts w:cs="Times New Roman"/>
                          <w:bCs/>
                          <w:sz w:val="20"/>
                          <w:szCs w:val="20"/>
                        </w:rPr>
                        <w:t>s concept endorsed for:</w:t>
                      </w:r>
                    </w:p>
                    <w:p w14:paraId="741A891D" w14:textId="77777777" w:rsidR="00477F5B" w:rsidRPr="009C683C" w:rsidRDefault="00477F5B" w:rsidP="0075650A">
                      <w:pPr>
                        <w:pStyle w:val="ListParagraph"/>
                        <w:numPr>
                          <w:ilvl w:val="0"/>
                          <w:numId w:val="8"/>
                        </w:numPr>
                        <w:spacing w:after="0" w:line="240" w:lineRule="auto"/>
                        <w:rPr>
                          <w:sz w:val="20"/>
                          <w:szCs w:val="20"/>
                        </w:rPr>
                      </w:pPr>
                      <w:r w:rsidRPr="009C683C">
                        <w:rPr>
                          <w:rFonts w:cs="Times New Roman"/>
                          <w:bCs/>
                          <w:sz w:val="20"/>
                          <w:szCs w:val="20"/>
                        </w:rPr>
                        <w:t xml:space="preserve">Pooling resources for regional strategic initiatives, </w:t>
                      </w:r>
                      <w:r>
                        <w:rPr>
                          <w:rFonts w:cs="Times New Roman"/>
                          <w:bCs/>
                          <w:sz w:val="20"/>
                          <w:szCs w:val="20"/>
                        </w:rPr>
                        <w:t>e</w:t>
                      </w:r>
                      <w:r w:rsidRPr="009C683C">
                        <w:rPr>
                          <w:rFonts w:cs="Times New Roman"/>
                          <w:bCs/>
                          <w:sz w:val="20"/>
                          <w:szCs w:val="20"/>
                        </w:rPr>
                        <w:t xml:space="preserve">conomies </w:t>
                      </w:r>
                      <w:r w:rsidRPr="009C683C">
                        <w:rPr>
                          <w:sz w:val="20"/>
                          <w:szCs w:val="20"/>
                        </w:rPr>
                        <w:t>of scale, expanded consumer markets and business opportunities</w:t>
                      </w:r>
                    </w:p>
                    <w:p w14:paraId="390B09F5" w14:textId="77777777" w:rsidR="00477F5B" w:rsidRPr="008E61A9" w:rsidRDefault="00477F5B" w:rsidP="0075650A">
                      <w:pPr>
                        <w:pStyle w:val="ListParagraph"/>
                        <w:numPr>
                          <w:ilvl w:val="0"/>
                          <w:numId w:val="8"/>
                        </w:numPr>
                        <w:spacing w:after="0" w:line="240" w:lineRule="auto"/>
                        <w:rPr>
                          <w:sz w:val="20"/>
                          <w:szCs w:val="20"/>
                        </w:rPr>
                      </w:pPr>
                      <w:r>
                        <w:rPr>
                          <w:sz w:val="20"/>
                          <w:szCs w:val="20"/>
                        </w:rPr>
                        <w:t xml:space="preserve">Existing </w:t>
                      </w:r>
                      <w:r>
                        <w:rPr>
                          <w:rFonts w:cs="Times New Roman"/>
                          <w:bCs/>
                          <w:sz w:val="20"/>
                          <w:szCs w:val="20"/>
                        </w:rPr>
                        <w:t>bloc</w:t>
                      </w:r>
                      <w:r w:rsidRPr="008E61A9">
                        <w:rPr>
                          <w:rFonts w:cs="Times New Roman"/>
                          <w:bCs/>
                          <w:sz w:val="20"/>
                          <w:szCs w:val="20"/>
                        </w:rPr>
                        <w:t xml:space="preserve">s - </w:t>
                      </w:r>
                      <w:proofErr w:type="spellStart"/>
                      <w:r w:rsidRPr="008E61A9">
                        <w:rPr>
                          <w:rFonts w:cs="Times New Roman"/>
                          <w:bCs/>
                          <w:sz w:val="20"/>
                          <w:szCs w:val="20"/>
                        </w:rPr>
                        <w:t>Jumuiya</w:t>
                      </w:r>
                      <w:proofErr w:type="spellEnd"/>
                      <w:r w:rsidRPr="008E61A9">
                        <w:rPr>
                          <w:rFonts w:cs="Times New Roman"/>
                          <w:bCs/>
                          <w:sz w:val="20"/>
                          <w:szCs w:val="20"/>
                        </w:rPr>
                        <w:t xml:space="preserve"> </w:t>
                      </w:r>
                      <w:proofErr w:type="spellStart"/>
                      <w:r w:rsidRPr="008E61A9">
                        <w:rPr>
                          <w:rFonts w:cs="Times New Roman"/>
                          <w:bCs/>
                          <w:sz w:val="20"/>
                          <w:szCs w:val="20"/>
                        </w:rPr>
                        <w:t>ya</w:t>
                      </w:r>
                      <w:proofErr w:type="spellEnd"/>
                      <w:r w:rsidRPr="008E61A9">
                        <w:rPr>
                          <w:rFonts w:cs="Times New Roman"/>
                          <w:bCs/>
                          <w:sz w:val="20"/>
                          <w:szCs w:val="20"/>
                        </w:rPr>
                        <w:t xml:space="preserve"> </w:t>
                      </w:r>
                      <w:proofErr w:type="spellStart"/>
                      <w:r w:rsidRPr="008E61A9">
                        <w:rPr>
                          <w:rFonts w:cs="Times New Roman"/>
                          <w:bCs/>
                          <w:sz w:val="20"/>
                          <w:szCs w:val="20"/>
                        </w:rPr>
                        <w:t>Pwani</w:t>
                      </w:r>
                      <w:proofErr w:type="spellEnd"/>
                      <w:r w:rsidRPr="008E61A9">
                        <w:rPr>
                          <w:rFonts w:cs="Times New Roman"/>
                          <w:bCs/>
                          <w:sz w:val="20"/>
                          <w:szCs w:val="20"/>
                        </w:rPr>
                        <w:t>, Mt.</w:t>
                      </w:r>
                      <w:r>
                        <w:rPr>
                          <w:rFonts w:cs="Times New Roman"/>
                          <w:bCs/>
                          <w:sz w:val="20"/>
                          <w:szCs w:val="20"/>
                        </w:rPr>
                        <w:t xml:space="preserve"> </w:t>
                      </w:r>
                      <w:r w:rsidRPr="008E61A9">
                        <w:rPr>
                          <w:rFonts w:cs="Times New Roman"/>
                          <w:bCs/>
                          <w:sz w:val="20"/>
                          <w:szCs w:val="20"/>
                        </w:rPr>
                        <w:t xml:space="preserve">Kenya and </w:t>
                      </w:r>
                      <w:proofErr w:type="spellStart"/>
                      <w:r w:rsidRPr="008E61A9">
                        <w:rPr>
                          <w:rFonts w:cs="Times New Roman"/>
                          <w:bCs/>
                          <w:sz w:val="20"/>
                          <w:szCs w:val="20"/>
                        </w:rPr>
                        <w:t>Aberdares</w:t>
                      </w:r>
                      <w:proofErr w:type="spellEnd"/>
                      <w:r w:rsidRPr="008E61A9">
                        <w:rPr>
                          <w:rFonts w:cs="Times New Roman"/>
                          <w:bCs/>
                          <w:sz w:val="20"/>
                          <w:szCs w:val="20"/>
                        </w:rPr>
                        <w:t xml:space="preserve"> R</w:t>
                      </w:r>
                      <w:r>
                        <w:rPr>
                          <w:rFonts w:cs="Times New Roman"/>
                          <w:bCs/>
                          <w:sz w:val="20"/>
                          <w:szCs w:val="20"/>
                        </w:rPr>
                        <w:t>egion, North Rift Economic Bloc</w:t>
                      </w:r>
                      <w:r w:rsidRPr="008E61A9">
                        <w:rPr>
                          <w:rFonts w:cs="Times New Roman"/>
                          <w:bCs/>
                          <w:sz w:val="20"/>
                          <w:szCs w:val="20"/>
                        </w:rPr>
                        <w:t>, Northern Blo</w:t>
                      </w:r>
                      <w:r>
                        <w:rPr>
                          <w:rFonts w:cs="Times New Roman"/>
                          <w:bCs/>
                          <w:sz w:val="20"/>
                          <w:szCs w:val="20"/>
                        </w:rPr>
                        <w:t>c and Lake Basin Economic Bloc</w:t>
                      </w:r>
                    </w:p>
                    <w:p w14:paraId="7789CF8C" w14:textId="77777777" w:rsidR="00477F5B" w:rsidRPr="008E61A9" w:rsidRDefault="00477F5B">
                      <w:pPr>
                        <w:rPr>
                          <w:sz w:val="18"/>
                          <w:szCs w:val="18"/>
                        </w:rPr>
                      </w:pPr>
                    </w:p>
                  </w:txbxContent>
                </v:textbox>
                <w10:wrap type="square" anchorx="margin"/>
              </v:shape>
            </w:pict>
          </mc:Fallback>
        </mc:AlternateContent>
      </w:r>
    </w:p>
    <w:p w14:paraId="65B20401" w14:textId="798F84A5" w:rsidR="00856C21" w:rsidRPr="00846B0F" w:rsidRDefault="00856C21" w:rsidP="00C57025">
      <w:pPr>
        <w:spacing w:after="0" w:line="276" w:lineRule="auto"/>
        <w:jc w:val="both"/>
        <w:rPr>
          <w:rFonts w:cs="Times New Roman"/>
          <w:bCs/>
          <w:sz w:val="24"/>
          <w:szCs w:val="24"/>
        </w:rPr>
      </w:pPr>
      <w:r w:rsidRPr="00846B0F">
        <w:rPr>
          <w:rFonts w:cs="Times New Roman"/>
          <w:bCs/>
          <w:sz w:val="24"/>
          <w:szCs w:val="24"/>
        </w:rPr>
        <w:t>CRA enhanc</w:t>
      </w:r>
      <w:r w:rsidR="00426CE7" w:rsidRPr="00846B0F">
        <w:rPr>
          <w:rFonts w:cs="Times New Roman"/>
          <w:bCs/>
          <w:sz w:val="24"/>
          <w:szCs w:val="24"/>
        </w:rPr>
        <w:t>ed</w:t>
      </w:r>
      <w:r w:rsidRPr="00846B0F">
        <w:rPr>
          <w:rFonts w:cs="Times New Roman"/>
          <w:bCs/>
          <w:sz w:val="24"/>
          <w:szCs w:val="24"/>
        </w:rPr>
        <w:t xml:space="preserve"> the capacity of </w:t>
      </w:r>
      <w:r w:rsidR="00426CE7" w:rsidRPr="00846B0F">
        <w:rPr>
          <w:rFonts w:cs="Times New Roman"/>
          <w:bCs/>
          <w:sz w:val="24"/>
          <w:szCs w:val="24"/>
        </w:rPr>
        <w:t xml:space="preserve">47 </w:t>
      </w:r>
      <w:r w:rsidRPr="00846B0F">
        <w:rPr>
          <w:rFonts w:cs="Times New Roman"/>
          <w:bCs/>
          <w:sz w:val="24"/>
          <w:szCs w:val="24"/>
        </w:rPr>
        <w:t xml:space="preserve">county directors/heads of communication to package, report and communicate development projects and provision of services in counties. Media linkages between county directors/heads of communication were forged with the leading </w:t>
      </w:r>
      <w:r w:rsidR="00433CAE" w:rsidRPr="00846B0F">
        <w:rPr>
          <w:rFonts w:cs="Times New Roman"/>
          <w:bCs/>
          <w:sz w:val="24"/>
          <w:szCs w:val="24"/>
        </w:rPr>
        <w:t>media houses including</w:t>
      </w:r>
      <w:r w:rsidRPr="00846B0F">
        <w:rPr>
          <w:rFonts w:cs="Times New Roman"/>
          <w:bCs/>
          <w:sz w:val="24"/>
          <w:szCs w:val="24"/>
        </w:rPr>
        <w:t>; Royal Media, Standard Newspapers, Star Newspapers, K</w:t>
      </w:r>
      <w:r w:rsidR="00A841D1" w:rsidRPr="00846B0F">
        <w:rPr>
          <w:rFonts w:cs="Times New Roman"/>
          <w:bCs/>
          <w:sz w:val="24"/>
          <w:szCs w:val="24"/>
        </w:rPr>
        <w:t xml:space="preserve">enya </w:t>
      </w:r>
      <w:r w:rsidRPr="00846B0F">
        <w:rPr>
          <w:rFonts w:cs="Times New Roman"/>
          <w:bCs/>
          <w:sz w:val="24"/>
          <w:szCs w:val="24"/>
        </w:rPr>
        <w:t>B</w:t>
      </w:r>
      <w:r w:rsidR="00A841D1" w:rsidRPr="00846B0F">
        <w:rPr>
          <w:rFonts w:cs="Times New Roman"/>
          <w:bCs/>
          <w:sz w:val="24"/>
          <w:szCs w:val="24"/>
        </w:rPr>
        <w:t xml:space="preserve">roadcasting </w:t>
      </w:r>
      <w:r w:rsidRPr="00846B0F">
        <w:rPr>
          <w:rFonts w:cs="Times New Roman"/>
          <w:bCs/>
          <w:sz w:val="24"/>
          <w:szCs w:val="24"/>
        </w:rPr>
        <w:t>C</w:t>
      </w:r>
      <w:r w:rsidR="00A841D1" w:rsidRPr="00846B0F">
        <w:rPr>
          <w:rFonts w:cs="Times New Roman"/>
          <w:bCs/>
          <w:sz w:val="24"/>
          <w:szCs w:val="24"/>
        </w:rPr>
        <w:t xml:space="preserve">orporation </w:t>
      </w:r>
      <w:r w:rsidRPr="00846B0F">
        <w:rPr>
          <w:rFonts w:cs="Times New Roman"/>
          <w:bCs/>
          <w:sz w:val="24"/>
          <w:szCs w:val="24"/>
        </w:rPr>
        <w:t xml:space="preserve">and Nation Media Group. Experiences on sharing of information from counties with </w:t>
      </w:r>
      <w:r w:rsidR="00433CAE" w:rsidRPr="00846B0F">
        <w:rPr>
          <w:rFonts w:cs="Times New Roman"/>
          <w:bCs/>
          <w:sz w:val="24"/>
          <w:szCs w:val="24"/>
        </w:rPr>
        <w:t xml:space="preserve">the </w:t>
      </w:r>
      <w:r w:rsidRPr="00846B0F">
        <w:rPr>
          <w:rFonts w:cs="Times New Roman"/>
          <w:bCs/>
          <w:sz w:val="24"/>
          <w:szCs w:val="24"/>
        </w:rPr>
        <w:t xml:space="preserve">media houses </w:t>
      </w:r>
      <w:r w:rsidR="005D3A6C" w:rsidRPr="00846B0F">
        <w:rPr>
          <w:rFonts w:cs="Times New Roman"/>
          <w:bCs/>
          <w:sz w:val="24"/>
          <w:szCs w:val="24"/>
        </w:rPr>
        <w:t xml:space="preserve">to increase </w:t>
      </w:r>
      <w:r w:rsidRPr="00846B0F">
        <w:rPr>
          <w:rFonts w:cs="Times New Roman"/>
          <w:bCs/>
          <w:sz w:val="24"/>
          <w:szCs w:val="24"/>
        </w:rPr>
        <w:t xml:space="preserve">knowledge </w:t>
      </w:r>
      <w:r w:rsidR="005D3A6C" w:rsidRPr="00846B0F">
        <w:rPr>
          <w:rFonts w:cs="Times New Roman"/>
          <w:bCs/>
          <w:sz w:val="24"/>
          <w:szCs w:val="24"/>
        </w:rPr>
        <w:t xml:space="preserve">and awareness </w:t>
      </w:r>
      <w:r w:rsidRPr="00846B0F">
        <w:rPr>
          <w:rFonts w:cs="Times New Roman"/>
          <w:bCs/>
          <w:sz w:val="24"/>
          <w:szCs w:val="24"/>
        </w:rPr>
        <w:t>across counties</w:t>
      </w:r>
      <w:r w:rsidR="005D3A6C" w:rsidRPr="00846B0F">
        <w:rPr>
          <w:rFonts w:cs="Times New Roman"/>
          <w:bCs/>
          <w:sz w:val="24"/>
          <w:szCs w:val="24"/>
        </w:rPr>
        <w:t xml:space="preserve"> </w:t>
      </w:r>
      <w:r w:rsidR="00572A4D" w:rsidRPr="00846B0F">
        <w:rPr>
          <w:rFonts w:cs="Times New Roman"/>
          <w:bCs/>
          <w:sz w:val="24"/>
          <w:szCs w:val="24"/>
        </w:rPr>
        <w:t xml:space="preserve">and with citizens </w:t>
      </w:r>
      <w:r w:rsidR="005D3A6C" w:rsidRPr="00846B0F">
        <w:rPr>
          <w:rFonts w:cs="Times New Roman"/>
          <w:bCs/>
          <w:sz w:val="24"/>
          <w:szCs w:val="24"/>
        </w:rPr>
        <w:t>were shared in order to position counties in the development agenda</w:t>
      </w:r>
      <w:r w:rsidRPr="00846B0F">
        <w:rPr>
          <w:rFonts w:cs="Times New Roman"/>
          <w:bCs/>
          <w:sz w:val="24"/>
          <w:szCs w:val="24"/>
        </w:rPr>
        <w:t>.</w:t>
      </w:r>
      <w:r w:rsidR="00301E5C" w:rsidRPr="00846B0F">
        <w:rPr>
          <w:rFonts w:cs="Times New Roman"/>
          <w:bCs/>
          <w:sz w:val="24"/>
          <w:szCs w:val="24"/>
        </w:rPr>
        <w:t xml:space="preserve"> This will lead to increased citizen awareness of county services and hence incr</w:t>
      </w:r>
      <w:r w:rsidR="009C5A66" w:rsidRPr="00846B0F">
        <w:rPr>
          <w:rFonts w:cs="Times New Roman"/>
          <w:bCs/>
          <w:sz w:val="24"/>
          <w:szCs w:val="24"/>
        </w:rPr>
        <w:t xml:space="preserve">eased </w:t>
      </w:r>
      <w:r w:rsidR="00954781" w:rsidRPr="00846B0F">
        <w:rPr>
          <w:rFonts w:cs="Times New Roman"/>
          <w:bCs/>
          <w:sz w:val="24"/>
          <w:szCs w:val="24"/>
        </w:rPr>
        <w:t xml:space="preserve">public </w:t>
      </w:r>
      <w:r w:rsidR="009C5A66" w:rsidRPr="00846B0F">
        <w:rPr>
          <w:rFonts w:cs="Times New Roman"/>
          <w:bCs/>
          <w:sz w:val="24"/>
          <w:szCs w:val="24"/>
        </w:rPr>
        <w:t>support for devolution.</w:t>
      </w:r>
      <w:r w:rsidR="00046FE2" w:rsidRPr="00846B0F">
        <w:rPr>
          <w:rFonts w:cs="Times New Roman"/>
          <w:bCs/>
          <w:sz w:val="24"/>
          <w:szCs w:val="24"/>
        </w:rPr>
        <w:t xml:space="preserve"> </w:t>
      </w:r>
    </w:p>
    <w:p w14:paraId="79508907" w14:textId="77777777" w:rsidR="009E2055" w:rsidRPr="00846B0F" w:rsidRDefault="009E2055" w:rsidP="00363730">
      <w:pPr>
        <w:spacing w:after="0" w:line="276" w:lineRule="auto"/>
        <w:jc w:val="both"/>
        <w:rPr>
          <w:rFonts w:cs="Times New Roman"/>
          <w:bCs/>
          <w:sz w:val="24"/>
          <w:szCs w:val="24"/>
        </w:rPr>
      </w:pPr>
    </w:p>
    <w:p w14:paraId="21A5DC9D" w14:textId="44CC1278" w:rsidR="00F3185E" w:rsidRPr="00846B0F" w:rsidRDefault="00866678" w:rsidP="007068D0">
      <w:pPr>
        <w:spacing w:after="0" w:line="276" w:lineRule="auto"/>
        <w:jc w:val="both"/>
        <w:rPr>
          <w:rFonts w:cs="Times New Roman"/>
          <w:bCs/>
          <w:sz w:val="24"/>
          <w:szCs w:val="24"/>
        </w:rPr>
      </w:pPr>
      <w:r w:rsidRPr="00846B0F">
        <w:rPr>
          <w:rFonts w:cs="Times New Roman"/>
          <w:bCs/>
          <w:sz w:val="24"/>
          <w:szCs w:val="24"/>
        </w:rPr>
        <w:t>An</w:t>
      </w:r>
      <w:r w:rsidR="00CF7615" w:rsidRPr="00846B0F">
        <w:rPr>
          <w:rFonts w:cs="Times New Roman"/>
          <w:bCs/>
          <w:sz w:val="24"/>
          <w:szCs w:val="24"/>
        </w:rPr>
        <w:t xml:space="preserve"> assessment of the status of devolution in Kenya</w:t>
      </w:r>
      <w:r w:rsidRPr="00846B0F">
        <w:rPr>
          <w:rFonts w:cs="Times New Roman"/>
          <w:bCs/>
          <w:sz w:val="24"/>
          <w:szCs w:val="24"/>
        </w:rPr>
        <w:t xml:space="preserve"> was undertaken by the TA</w:t>
      </w:r>
      <w:r w:rsidR="00CF7615" w:rsidRPr="00846B0F">
        <w:rPr>
          <w:rFonts w:cs="Times New Roman"/>
          <w:bCs/>
          <w:sz w:val="24"/>
          <w:szCs w:val="24"/>
        </w:rPr>
        <w:t xml:space="preserve">. </w:t>
      </w:r>
      <w:r w:rsidR="006C38EB" w:rsidRPr="00846B0F">
        <w:rPr>
          <w:rFonts w:cs="Times New Roman"/>
          <w:bCs/>
          <w:sz w:val="24"/>
          <w:szCs w:val="24"/>
        </w:rPr>
        <w:t xml:space="preserve">The project provided </w:t>
      </w:r>
      <w:r w:rsidR="007068D0" w:rsidRPr="00846B0F">
        <w:rPr>
          <w:rFonts w:cs="Times New Roman"/>
          <w:bCs/>
          <w:sz w:val="24"/>
          <w:szCs w:val="24"/>
        </w:rPr>
        <w:t>t</w:t>
      </w:r>
      <w:r w:rsidR="00CF7615" w:rsidRPr="00846B0F">
        <w:rPr>
          <w:rFonts w:cs="Times New Roman"/>
          <w:bCs/>
          <w:sz w:val="24"/>
          <w:szCs w:val="24"/>
        </w:rPr>
        <w:t xml:space="preserve">echnical assistance </w:t>
      </w:r>
      <w:r w:rsidR="007068D0" w:rsidRPr="00846B0F">
        <w:rPr>
          <w:rFonts w:cs="Times New Roman"/>
          <w:bCs/>
          <w:sz w:val="24"/>
          <w:szCs w:val="24"/>
        </w:rPr>
        <w:t>through</w:t>
      </w:r>
      <w:r w:rsidR="00CF7615" w:rsidRPr="00846B0F">
        <w:rPr>
          <w:rFonts w:cs="Times New Roman"/>
          <w:bCs/>
          <w:sz w:val="24"/>
          <w:szCs w:val="24"/>
        </w:rPr>
        <w:t xml:space="preserve"> the Kenya Institute for Public Policy Research and Analysis (KIPPRA) </w:t>
      </w:r>
      <w:r w:rsidR="006C38EB" w:rsidRPr="00846B0F">
        <w:rPr>
          <w:rFonts w:cs="Times New Roman"/>
          <w:bCs/>
          <w:sz w:val="24"/>
          <w:szCs w:val="24"/>
        </w:rPr>
        <w:t>to</w:t>
      </w:r>
      <w:r w:rsidR="007068D0" w:rsidRPr="00846B0F">
        <w:rPr>
          <w:rFonts w:cs="Times New Roman"/>
          <w:bCs/>
          <w:sz w:val="24"/>
          <w:szCs w:val="24"/>
        </w:rPr>
        <w:t xml:space="preserve"> </w:t>
      </w:r>
      <w:r w:rsidR="00CF7615" w:rsidRPr="00846B0F">
        <w:rPr>
          <w:rFonts w:cs="Times New Roman"/>
          <w:bCs/>
          <w:sz w:val="24"/>
          <w:szCs w:val="24"/>
        </w:rPr>
        <w:t>undert</w:t>
      </w:r>
      <w:r w:rsidR="006C38EB" w:rsidRPr="00846B0F">
        <w:rPr>
          <w:rFonts w:cs="Times New Roman"/>
          <w:bCs/>
          <w:sz w:val="24"/>
          <w:szCs w:val="24"/>
        </w:rPr>
        <w:t>a</w:t>
      </w:r>
      <w:r w:rsidR="00CF7615" w:rsidRPr="00846B0F">
        <w:rPr>
          <w:rFonts w:cs="Times New Roman"/>
          <w:bCs/>
          <w:sz w:val="24"/>
          <w:szCs w:val="24"/>
        </w:rPr>
        <w:t>k</w:t>
      </w:r>
      <w:r w:rsidR="006C38EB" w:rsidRPr="00846B0F">
        <w:rPr>
          <w:rFonts w:cs="Times New Roman"/>
          <w:bCs/>
          <w:sz w:val="24"/>
          <w:szCs w:val="24"/>
        </w:rPr>
        <w:t>e</w:t>
      </w:r>
      <w:r w:rsidR="00CF7615" w:rsidRPr="00846B0F">
        <w:rPr>
          <w:rFonts w:cs="Times New Roman"/>
          <w:bCs/>
          <w:sz w:val="24"/>
          <w:szCs w:val="24"/>
        </w:rPr>
        <w:t xml:space="preserve"> the assessment. </w:t>
      </w:r>
      <w:r w:rsidR="007068D0" w:rsidRPr="00846B0F">
        <w:rPr>
          <w:rFonts w:cs="Times New Roman"/>
          <w:bCs/>
          <w:sz w:val="24"/>
          <w:szCs w:val="24"/>
        </w:rPr>
        <w:t>Th</w:t>
      </w:r>
      <w:r w:rsidRPr="00846B0F">
        <w:rPr>
          <w:rFonts w:cs="Times New Roman"/>
          <w:bCs/>
          <w:sz w:val="24"/>
          <w:szCs w:val="24"/>
        </w:rPr>
        <w:t>e</w:t>
      </w:r>
      <w:r w:rsidR="007068D0" w:rsidRPr="00846B0F">
        <w:rPr>
          <w:rFonts w:cs="Times New Roman"/>
          <w:bCs/>
          <w:sz w:val="24"/>
          <w:szCs w:val="24"/>
        </w:rPr>
        <w:t xml:space="preserve"> assessment </w:t>
      </w:r>
      <w:r w:rsidRPr="00846B0F">
        <w:rPr>
          <w:rFonts w:cs="Times New Roman"/>
          <w:bCs/>
          <w:sz w:val="24"/>
          <w:szCs w:val="24"/>
        </w:rPr>
        <w:t>covers</w:t>
      </w:r>
      <w:r w:rsidR="007068D0" w:rsidRPr="00846B0F">
        <w:rPr>
          <w:rFonts w:cs="Times New Roman"/>
          <w:bCs/>
          <w:sz w:val="24"/>
          <w:szCs w:val="24"/>
        </w:rPr>
        <w:t xml:space="preserve"> the uptake and implementation of assigned functions to county governments as per </w:t>
      </w:r>
      <w:r w:rsidR="006C38EB" w:rsidRPr="00846B0F">
        <w:rPr>
          <w:rFonts w:cs="Times New Roman"/>
          <w:bCs/>
          <w:sz w:val="24"/>
          <w:szCs w:val="24"/>
        </w:rPr>
        <w:t xml:space="preserve">the </w:t>
      </w:r>
      <w:r w:rsidR="007068D0" w:rsidRPr="00846B0F">
        <w:rPr>
          <w:rFonts w:cs="Times New Roman"/>
          <w:bCs/>
          <w:sz w:val="24"/>
          <w:szCs w:val="24"/>
        </w:rPr>
        <w:t xml:space="preserve">Fourth Schedule of the Constitution </w:t>
      </w:r>
      <w:r w:rsidR="006C38EB" w:rsidRPr="00846B0F">
        <w:rPr>
          <w:rFonts w:cs="Times New Roman"/>
          <w:bCs/>
          <w:sz w:val="24"/>
          <w:szCs w:val="24"/>
        </w:rPr>
        <w:t xml:space="preserve">of </w:t>
      </w:r>
      <w:r w:rsidRPr="00846B0F">
        <w:rPr>
          <w:rFonts w:cs="Times New Roman"/>
          <w:bCs/>
          <w:sz w:val="24"/>
          <w:szCs w:val="24"/>
        </w:rPr>
        <w:t>Kenya as</w:t>
      </w:r>
      <w:r w:rsidR="007068D0" w:rsidRPr="00846B0F">
        <w:rPr>
          <w:rFonts w:cs="Times New Roman"/>
          <w:bCs/>
          <w:sz w:val="24"/>
          <w:szCs w:val="24"/>
        </w:rPr>
        <w:t xml:space="preserve"> well as the effectiveness of the national government in facilitating devolved functions. The </w:t>
      </w:r>
      <w:r w:rsidR="00433CAE" w:rsidRPr="00846B0F">
        <w:rPr>
          <w:rFonts w:cs="Times New Roman"/>
          <w:bCs/>
          <w:sz w:val="24"/>
          <w:szCs w:val="24"/>
        </w:rPr>
        <w:t>assessment</w:t>
      </w:r>
      <w:r w:rsidR="007068D0" w:rsidRPr="00846B0F">
        <w:rPr>
          <w:rFonts w:cs="Times New Roman"/>
          <w:bCs/>
          <w:sz w:val="24"/>
          <w:szCs w:val="24"/>
        </w:rPr>
        <w:t xml:space="preserve"> also document</w:t>
      </w:r>
      <w:r w:rsidRPr="00846B0F">
        <w:rPr>
          <w:rFonts w:cs="Times New Roman"/>
          <w:bCs/>
          <w:sz w:val="24"/>
          <w:szCs w:val="24"/>
        </w:rPr>
        <w:t>s</w:t>
      </w:r>
      <w:r w:rsidR="007068D0" w:rsidRPr="00846B0F">
        <w:rPr>
          <w:rFonts w:cs="Times New Roman"/>
          <w:bCs/>
          <w:sz w:val="24"/>
          <w:szCs w:val="24"/>
        </w:rPr>
        <w:t xml:space="preserve"> the challenges, capacity gaps and </w:t>
      </w:r>
      <w:r w:rsidR="007068D0" w:rsidRPr="00846B0F">
        <w:rPr>
          <w:rFonts w:cs="Times New Roman"/>
          <w:bCs/>
          <w:sz w:val="24"/>
          <w:szCs w:val="24"/>
        </w:rPr>
        <w:lastRenderedPageBreak/>
        <w:t>lessons learnt towards the realization of the devolved system of government to inform future interventions</w:t>
      </w:r>
      <w:r w:rsidR="00653DFE">
        <w:rPr>
          <w:rFonts w:cs="Times New Roman"/>
          <w:bCs/>
          <w:sz w:val="24"/>
          <w:szCs w:val="24"/>
        </w:rPr>
        <w:t xml:space="preserve"> by</w:t>
      </w:r>
      <w:r w:rsidR="00C62BFA">
        <w:rPr>
          <w:rFonts w:cs="Times New Roman"/>
          <w:bCs/>
          <w:sz w:val="24"/>
          <w:szCs w:val="24"/>
        </w:rPr>
        <w:t xml:space="preserve"> </w:t>
      </w:r>
      <w:r w:rsidR="00073BCE">
        <w:rPr>
          <w:rFonts w:cs="Times New Roman"/>
          <w:bCs/>
          <w:sz w:val="24"/>
          <w:szCs w:val="24"/>
        </w:rPr>
        <w:t>the Intergovernmental Relations Technical Committee (</w:t>
      </w:r>
      <w:r w:rsidR="00C62BFA">
        <w:rPr>
          <w:rFonts w:cs="Times New Roman"/>
          <w:bCs/>
          <w:sz w:val="24"/>
          <w:szCs w:val="24"/>
        </w:rPr>
        <w:t>IGRTC</w:t>
      </w:r>
      <w:r w:rsidR="00073BCE">
        <w:rPr>
          <w:rFonts w:cs="Times New Roman"/>
          <w:bCs/>
          <w:sz w:val="24"/>
          <w:szCs w:val="24"/>
        </w:rPr>
        <w:t>)</w:t>
      </w:r>
      <w:r w:rsidR="007068D0" w:rsidRPr="00846B0F">
        <w:rPr>
          <w:rFonts w:cs="Times New Roman"/>
          <w:bCs/>
          <w:sz w:val="24"/>
          <w:szCs w:val="24"/>
        </w:rPr>
        <w:t>.</w:t>
      </w:r>
      <w:r w:rsidR="00C62BFA">
        <w:rPr>
          <w:rFonts w:cs="Times New Roman"/>
          <w:bCs/>
          <w:sz w:val="24"/>
          <w:szCs w:val="24"/>
        </w:rPr>
        <w:t xml:space="preserve"> </w:t>
      </w:r>
    </w:p>
    <w:p w14:paraId="730D2B4E" w14:textId="77777777" w:rsidR="004665AD" w:rsidRPr="00846B0F" w:rsidRDefault="004665AD" w:rsidP="004665AD">
      <w:pPr>
        <w:pStyle w:val="Default"/>
        <w:rPr>
          <w:rFonts w:asciiTheme="minorHAnsi" w:hAnsiTheme="minorHAnsi" w:cs="Candara"/>
        </w:rPr>
      </w:pPr>
    </w:p>
    <w:p w14:paraId="5B4338FC" w14:textId="77777777" w:rsidR="00F57DB1" w:rsidRPr="00846B0F" w:rsidRDefault="00866678" w:rsidP="006A7927">
      <w:pPr>
        <w:autoSpaceDE w:val="0"/>
        <w:autoSpaceDN w:val="0"/>
        <w:adjustRightInd w:val="0"/>
        <w:spacing w:after="0" w:line="276" w:lineRule="auto"/>
        <w:jc w:val="both"/>
        <w:rPr>
          <w:rFonts w:cs="Times New Roman"/>
          <w:bCs/>
          <w:sz w:val="24"/>
          <w:szCs w:val="24"/>
        </w:rPr>
      </w:pPr>
      <w:proofErr w:type="spellStart"/>
      <w:r w:rsidRPr="00846B0F">
        <w:rPr>
          <w:rFonts w:cs="Times New Roman"/>
          <w:bCs/>
          <w:sz w:val="24"/>
          <w:szCs w:val="24"/>
        </w:rPr>
        <w:t>CoG</w:t>
      </w:r>
      <w:proofErr w:type="spellEnd"/>
      <w:r w:rsidRPr="00846B0F">
        <w:rPr>
          <w:rFonts w:cs="Times New Roman"/>
          <w:bCs/>
          <w:sz w:val="24"/>
          <w:szCs w:val="24"/>
        </w:rPr>
        <w:t xml:space="preserve"> convened a high level</w:t>
      </w:r>
      <w:r w:rsidR="00F57DB1" w:rsidRPr="00846B0F">
        <w:rPr>
          <w:rFonts w:cs="Times New Roman"/>
          <w:bCs/>
          <w:sz w:val="24"/>
          <w:szCs w:val="24"/>
        </w:rPr>
        <w:t xml:space="preserve"> council</w:t>
      </w:r>
      <w:r w:rsidR="004665AD" w:rsidRPr="00846B0F">
        <w:rPr>
          <w:rFonts w:cs="Times New Roman"/>
          <w:bCs/>
          <w:sz w:val="24"/>
          <w:szCs w:val="24"/>
        </w:rPr>
        <w:t xml:space="preserve"> meeting that affirmed </w:t>
      </w:r>
      <w:r w:rsidRPr="00846B0F">
        <w:rPr>
          <w:rFonts w:cs="Times New Roman"/>
          <w:bCs/>
          <w:sz w:val="24"/>
          <w:szCs w:val="24"/>
        </w:rPr>
        <w:t>g</w:t>
      </w:r>
      <w:r w:rsidR="004665AD" w:rsidRPr="00846B0F">
        <w:rPr>
          <w:rFonts w:cs="Times New Roman"/>
          <w:bCs/>
          <w:sz w:val="24"/>
          <w:szCs w:val="24"/>
        </w:rPr>
        <w:t xml:space="preserve">overnors’ priority of seeing the successful establishment of county governments against the objects envisaged in Article 174 of the </w:t>
      </w:r>
      <w:r w:rsidRPr="00846B0F">
        <w:rPr>
          <w:rFonts w:cs="Times New Roman"/>
          <w:bCs/>
          <w:sz w:val="24"/>
          <w:szCs w:val="24"/>
        </w:rPr>
        <w:t>c</w:t>
      </w:r>
      <w:r w:rsidR="004665AD" w:rsidRPr="00846B0F">
        <w:rPr>
          <w:rFonts w:cs="Times New Roman"/>
          <w:bCs/>
          <w:sz w:val="24"/>
          <w:szCs w:val="24"/>
        </w:rPr>
        <w:t xml:space="preserve">onstitution. The </w:t>
      </w:r>
      <w:r w:rsidR="006A7927">
        <w:rPr>
          <w:rFonts w:cs="Times New Roman"/>
          <w:bCs/>
          <w:sz w:val="24"/>
          <w:szCs w:val="24"/>
        </w:rPr>
        <w:t>G</w:t>
      </w:r>
      <w:r w:rsidR="004665AD" w:rsidRPr="00846B0F">
        <w:rPr>
          <w:rFonts w:cs="Times New Roman"/>
          <w:bCs/>
          <w:sz w:val="24"/>
          <w:szCs w:val="24"/>
        </w:rPr>
        <w:t>overnors agreed to</w:t>
      </w:r>
      <w:r w:rsidR="00BD10F7">
        <w:rPr>
          <w:rFonts w:cs="Times New Roman"/>
          <w:bCs/>
          <w:sz w:val="24"/>
          <w:szCs w:val="24"/>
        </w:rPr>
        <w:t>:</w:t>
      </w:r>
      <w:r w:rsidR="004665AD" w:rsidRPr="00846B0F">
        <w:rPr>
          <w:rFonts w:cs="Times New Roman"/>
          <w:bCs/>
          <w:sz w:val="24"/>
          <w:szCs w:val="24"/>
        </w:rPr>
        <w:t xml:space="preserve"> provide essential services like affordable healthcare, clean water, sanitation services, and improved infrastructure at the lowest price level; that financial and human resource systems in the counties are operational; that the citizens can participate in governance, proactively contributing to legislation and policy; that the </w:t>
      </w:r>
      <w:r w:rsidR="009C683C" w:rsidRPr="00846B0F">
        <w:rPr>
          <w:rFonts w:cs="Times New Roman"/>
          <w:bCs/>
          <w:sz w:val="24"/>
          <w:szCs w:val="24"/>
        </w:rPr>
        <w:t xml:space="preserve">marginalized groups including </w:t>
      </w:r>
      <w:r w:rsidR="004665AD" w:rsidRPr="00846B0F">
        <w:rPr>
          <w:rFonts w:cs="Times New Roman"/>
          <w:bCs/>
          <w:sz w:val="24"/>
          <w:szCs w:val="24"/>
        </w:rPr>
        <w:t xml:space="preserve">women, youth, marginalized communities and persons with disabilities </w:t>
      </w:r>
      <w:r w:rsidR="00F57DB1" w:rsidRPr="00846B0F">
        <w:rPr>
          <w:rFonts w:cs="Times New Roman"/>
          <w:bCs/>
          <w:sz w:val="24"/>
          <w:szCs w:val="24"/>
        </w:rPr>
        <w:t>to</w:t>
      </w:r>
      <w:r w:rsidR="004665AD" w:rsidRPr="00846B0F">
        <w:rPr>
          <w:rFonts w:cs="Times New Roman"/>
          <w:bCs/>
          <w:sz w:val="24"/>
          <w:szCs w:val="24"/>
        </w:rPr>
        <w:t xml:space="preserve"> participate in procurement of goods and services and; that all duty bearers conduct their affairs openly, transparently and fairly. </w:t>
      </w:r>
      <w:r w:rsidR="00F57DB1" w:rsidRPr="00846B0F">
        <w:rPr>
          <w:rFonts w:cs="Times New Roman"/>
          <w:bCs/>
          <w:sz w:val="24"/>
          <w:szCs w:val="24"/>
        </w:rPr>
        <w:t xml:space="preserve">During this meeting, it was noted that while counties were emerging as key units of economic development, they stood to gain </w:t>
      </w:r>
      <w:r w:rsidR="00492FFE" w:rsidRPr="00846B0F">
        <w:rPr>
          <w:rFonts w:cs="Times New Roman"/>
          <w:bCs/>
          <w:sz w:val="24"/>
          <w:szCs w:val="24"/>
        </w:rPr>
        <w:t xml:space="preserve">immensely </w:t>
      </w:r>
      <w:r w:rsidR="00F57DB1" w:rsidRPr="00846B0F">
        <w:rPr>
          <w:rFonts w:cs="Times New Roman"/>
          <w:bCs/>
          <w:sz w:val="24"/>
          <w:szCs w:val="24"/>
        </w:rPr>
        <w:t xml:space="preserve">by pooling resources for </w:t>
      </w:r>
      <w:r w:rsidR="00492FFE" w:rsidRPr="00846B0F">
        <w:rPr>
          <w:rFonts w:cs="Times New Roman"/>
          <w:bCs/>
          <w:sz w:val="24"/>
          <w:szCs w:val="24"/>
        </w:rPr>
        <w:t xml:space="preserve">regional </w:t>
      </w:r>
      <w:r w:rsidR="00F57DB1" w:rsidRPr="00846B0F">
        <w:rPr>
          <w:rFonts w:cs="Times New Roman"/>
          <w:bCs/>
          <w:sz w:val="24"/>
          <w:szCs w:val="24"/>
        </w:rPr>
        <w:t>strategic initiatives. In this respect, the Cou</w:t>
      </w:r>
      <w:r w:rsidRPr="00846B0F">
        <w:rPr>
          <w:rFonts w:cs="Times New Roman"/>
          <w:bCs/>
          <w:sz w:val="24"/>
          <w:szCs w:val="24"/>
        </w:rPr>
        <w:t>ncil endorsed the regional bloc</w:t>
      </w:r>
      <w:r w:rsidR="00F57DB1" w:rsidRPr="00846B0F">
        <w:rPr>
          <w:rFonts w:cs="Times New Roman"/>
          <w:bCs/>
          <w:sz w:val="24"/>
          <w:szCs w:val="24"/>
        </w:rPr>
        <w:t>s concept and requested the remaining counties to join</w:t>
      </w:r>
      <w:r w:rsidR="00492FFE" w:rsidRPr="00846B0F">
        <w:rPr>
          <w:rFonts w:cs="Times New Roman"/>
          <w:bCs/>
          <w:sz w:val="24"/>
          <w:szCs w:val="24"/>
        </w:rPr>
        <w:t xml:space="preserve"> or initiate </w:t>
      </w:r>
      <w:r w:rsidR="00F57DB1" w:rsidRPr="00846B0F">
        <w:rPr>
          <w:rFonts w:cs="Times New Roman"/>
          <w:bCs/>
          <w:sz w:val="24"/>
          <w:szCs w:val="24"/>
        </w:rPr>
        <w:t xml:space="preserve">initiatives such </w:t>
      </w:r>
      <w:r w:rsidR="00492FFE" w:rsidRPr="00846B0F">
        <w:rPr>
          <w:rFonts w:cs="Times New Roman"/>
          <w:bCs/>
          <w:sz w:val="24"/>
          <w:szCs w:val="24"/>
        </w:rPr>
        <w:t xml:space="preserve">as </w:t>
      </w:r>
      <w:proofErr w:type="spellStart"/>
      <w:r w:rsidR="00F57DB1" w:rsidRPr="002348EE">
        <w:rPr>
          <w:rFonts w:cs="Times New Roman"/>
          <w:bCs/>
          <w:i/>
          <w:sz w:val="24"/>
          <w:szCs w:val="24"/>
        </w:rPr>
        <w:t>Jumuiya</w:t>
      </w:r>
      <w:proofErr w:type="spellEnd"/>
      <w:r w:rsidR="00F57DB1" w:rsidRPr="002348EE">
        <w:rPr>
          <w:rFonts w:cs="Times New Roman"/>
          <w:bCs/>
          <w:i/>
          <w:sz w:val="24"/>
          <w:szCs w:val="24"/>
        </w:rPr>
        <w:t xml:space="preserve"> </w:t>
      </w:r>
      <w:proofErr w:type="spellStart"/>
      <w:r w:rsidR="00F57DB1" w:rsidRPr="002348EE">
        <w:rPr>
          <w:rFonts w:cs="Times New Roman"/>
          <w:bCs/>
          <w:i/>
          <w:sz w:val="24"/>
          <w:szCs w:val="24"/>
        </w:rPr>
        <w:t>ya</w:t>
      </w:r>
      <w:proofErr w:type="spellEnd"/>
      <w:r w:rsidR="00F57DB1" w:rsidRPr="002348EE">
        <w:rPr>
          <w:rFonts w:cs="Times New Roman"/>
          <w:bCs/>
          <w:i/>
          <w:sz w:val="24"/>
          <w:szCs w:val="24"/>
        </w:rPr>
        <w:t xml:space="preserve"> </w:t>
      </w:r>
      <w:proofErr w:type="spellStart"/>
      <w:r w:rsidR="00F57DB1" w:rsidRPr="002348EE">
        <w:rPr>
          <w:rFonts w:cs="Times New Roman"/>
          <w:bCs/>
          <w:i/>
          <w:sz w:val="24"/>
          <w:szCs w:val="24"/>
        </w:rPr>
        <w:t>Pwani</w:t>
      </w:r>
      <w:proofErr w:type="spellEnd"/>
      <w:r w:rsidRPr="00846B0F">
        <w:rPr>
          <w:rFonts w:cs="Times New Roman"/>
          <w:bCs/>
          <w:sz w:val="24"/>
          <w:szCs w:val="24"/>
        </w:rPr>
        <w:t xml:space="preserve"> (for coastal counties)</w:t>
      </w:r>
      <w:r w:rsidR="00F57DB1" w:rsidRPr="00846B0F">
        <w:rPr>
          <w:rFonts w:cs="Times New Roman"/>
          <w:bCs/>
          <w:sz w:val="24"/>
          <w:szCs w:val="24"/>
        </w:rPr>
        <w:t>, Mt.</w:t>
      </w:r>
      <w:r w:rsidR="00961CEE">
        <w:rPr>
          <w:rFonts w:cs="Times New Roman"/>
          <w:bCs/>
          <w:sz w:val="24"/>
          <w:szCs w:val="24"/>
        </w:rPr>
        <w:t xml:space="preserve"> </w:t>
      </w:r>
      <w:r w:rsidR="00F57DB1" w:rsidRPr="00846B0F">
        <w:rPr>
          <w:rFonts w:cs="Times New Roman"/>
          <w:bCs/>
          <w:sz w:val="24"/>
          <w:szCs w:val="24"/>
        </w:rPr>
        <w:t xml:space="preserve">Kenya and </w:t>
      </w:r>
      <w:proofErr w:type="spellStart"/>
      <w:r w:rsidR="00F57DB1" w:rsidRPr="00846B0F">
        <w:rPr>
          <w:rFonts w:cs="Times New Roman"/>
          <w:bCs/>
          <w:sz w:val="24"/>
          <w:szCs w:val="24"/>
        </w:rPr>
        <w:t>Aberdares</w:t>
      </w:r>
      <w:proofErr w:type="spellEnd"/>
      <w:r w:rsidR="00F57DB1" w:rsidRPr="00846B0F">
        <w:rPr>
          <w:rFonts w:cs="Times New Roman"/>
          <w:bCs/>
          <w:sz w:val="24"/>
          <w:szCs w:val="24"/>
        </w:rPr>
        <w:t xml:space="preserve"> R</w:t>
      </w:r>
      <w:r w:rsidRPr="00846B0F">
        <w:rPr>
          <w:rFonts w:cs="Times New Roman"/>
          <w:bCs/>
          <w:sz w:val="24"/>
          <w:szCs w:val="24"/>
        </w:rPr>
        <w:t>egion, North Rift Economic Bloc</w:t>
      </w:r>
      <w:r w:rsidR="00F57DB1" w:rsidRPr="00846B0F">
        <w:rPr>
          <w:rFonts w:cs="Times New Roman"/>
          <w:bCs/>
          <w:sz w:val="24"/>
          <w:szCs w:val="24"/>
        </w:rPr>
        <w:t>, Northern Bloc and Lake Basin Economic B</w:t>
      </w:r>
      <w:r w:rsidRPr="00846B0F">
        <w:rPr>
          <w:rFonts w:cs="Times New Roman"/>
          <w:bCs/>
          <w:sz w:val="24"/>
          <w:szCs w:val="24"/>
        </w:rPr>
        <w:t>loc</w:t>
      </w:r>
      <w:r w:rsidR="00F57DB1" w:rsidRPr="00846B0F">
        <w:rPr>
          <w:rFonts w:cs="Times New Roman"/>
          <w:bCs/>
          <w:sz w:val="24"/>
          <w:szCs w:val="24"/>
        </w:rPr>
        <w:t xml:space="preserve"> for better coordination and cooperation </w:t>
      </w:r>
      <w:r w:rsidR="00492FFE" w:rsidRPr="00846B0F">
        <w:rPr>
          <w:rFonts w:cs="Times New Roman"/>
          <w:bCs/>
          <w:sz w:val="24"/>
          <w:szCs w:val="24"/>
        </w:rPr>
        <w:t xml:space="preserve">of </w:t>
      </w:r>
      <w:r w:rsidR="00F57DB1" w:rsidRPr="00846B0F">
        <w:rPr>
          <w:rFonts w:cs="Times New Roman"/>
          <w:bCs/>
          <w:sz w:val="24"/>
          <w:szCs w:val="24"/>
        </w:rPr>
        <w:t>development</w:t>
      </w:r>
      <w:r w:rsidR="00492FFE" w:rsidRPr="00846B0F">
        <w:rPr>
          <w:rFonts w:cs="Times New Roman"/>
          <w:bCs/>
          <w:sz w:val="24"/>
          <w:szCs w:val="24"/>
        </w:rPr>
        <w:t xml:space="preserve"> and for enhanced gains associated with economies of scale such as bigger consumer markets and business</w:t>
      </w:r>
      <w:r w:rsidR="006A7927">
        <w:rPr>
          <w:rFonts w:cs="Times New Roman"/>
          <w:bCs/>
          <w:sz w:val="24"/>
          <w:szCs w:val="24"/>
        </w:rPr>
        <w:t xml:space="preserve"> opportunities</w:t>
      </w:r>
      <w:r w:rsidR="00F57DB1" w:rsidRPr="00846B0F">
        <w:rPr>
          <w:rFonts w:cs="Times New Roman"/>
          <w:bCs/>
          <w:sz w:val="24"/>
          <w:szCs w:val="24"/>
        </w:rPr>
        <w:t>.</w:t>
      </w:r>
    </w:p>
    <w:p w14:paraId="3CEDF9E2" w14:textId="77777777" w:rsidR="006B2095" w:rsidRPr="00846B0F" w:rsidRDefault="006B2095" w:rsidP="009C683C">
      <w:pPr>
        <w:autoSpaceDE w:val="0"/>
        <w:autoSpaceDN w:val="0"/>
        <w:adjustRightInd w:val="0"/>
        <w:spacing w:after="0" w:line="240" w:lineRule="auto"/>
        <w:rPr>
          <w:rFonts w:cs="Times New Roman"/>
          <w:bCs/>
          <w:sz w:val="24"/>
          <w:szCs w:val="24"/>
        </w:rPr>
      </w:pPr>
    </w:p>
    <w:p w14:paraId="3732200C" w14:textId="41F80A34" w:rsidR="00E07CAC" w:rsidRDefault="006B2095" w:rsidP="00073BCE">
      <w:pPr>
        <w:spacing w:after="0" w:line="276" w:lineRule="auto"/>
        <w:jc w:val="both"/>
        <w:rPr>
          <w:rFonts w:cs="Times New Roman"/>
          <w:bCs/>
          <w:sz w:val="24"/>
          <w:szCs w:val="24"/>
        </w:rPr>
      </w:pPr>
      <w:r w:rsidRPr="00846B0F">
        <w:rPr>
          <w:rFonts w:cs="Times New Roman"/>
          <w:bCs/>
          <w:sz w:val="24"/>
          <w:szCs w:val="24"/>
        </w:rPr>
        <w:t>CRA train</w:t>
      </w:r>
      <w:r w:rsidR="00C57025" w:rsidRPr="00846B0F">
        <w:rPr>
          <w:rFonts w:cs="Times New Roman"/>
          <w:bCs/>
          <w:sz w:val="24"/>
          <w:szCs w:val="24"/>
        </w:rPr>
        <w:t>ed</w:t>
      </w:r>
      <w:r w:rsidRPr="00846B0F">
        <w:rPr>
          <w:rFonts w:cs="Times New Roman"/>
          <w:bCs/>
          <w:sz w:val="24"/>
          <w:szCs w:val="24"/>
        </w:rPr>
        <w:t xml:space="preserve"> </w:t>
      </w:r>
      <w:r w:rsidR="00846B0F">
        <w:rPr>
          <w:rFonts w:cs="Times New Roman"/>
          <w:bCs/>
          <w:sz w:val="24"/>
          <w:szCs w:val="24"/>
        </w:rPr>
        <w:t xml:space="preserve">2,240 </w:t>
      </w:r>
      <w:r w:rsidRPr="00846B0F">
        <w:rPr>
          <w:rFonts w:cs="Times New Roman"/>
          <w:bCs/>
          <w:sz w:val="24"/>
          <w:szCs w:val="24"/>
        </w:rPr>
        <w:t>MCAs</w:t>
      </w:r>
      <w:r w:rsidR="00846B0F">
        <w:rPr>
          <w:rFonts w:cs="Times New Roman"/>
          <w:bCs/>
          <w:sz w:val="24"/>
          <w:szCs w:val="24"/>
        </w:rPr>
        <w:t xml:space="preserve"> (1</w:t>
      </w:r>
      <w:r w:rsidR="004F23EB">
        <w:rPr>
          <w:rFonts w:cs="Times New Roman"/>
          <w:bCs/>
          <w:sz w:val="24"/>
          <w:szCs w:val="24"/>
        </w:rPr>
        <w:t>,</w:t>
      </w:r>
      <w:r w:rsidR="00846B0F">
        <w:rPr>
          <w:rFonts w:cs="Times New Roman"/>
          <w:bCs/>
          <w:sz w:val="24"/>
          <w:szCs w:val="24"/>
        </w:rPr>
        <w:t xml:space="preserve">580 male and 660 females) </w:t>
      </w:r>
      <w:r w:rsidR="00846B0F" w:rsidRPr="00846B0F">
        <w:rPr>
          <w:rFonts w:cs="Times New Roman"/>
          <w:bCs/>
          <w:sz w:val="24"/>
          <w:szCs w:val="24"/>
        </w:rPr>
        <w:t>in</w:t>
      </w:r>
      <w:r w:rsidRPr="00846B0F">
        <w:rPr>
          <w:rFonts w:cs="Times New Roman"/>
          <w:bCs/>
          <w:sz w:val="24"/>
          <w:szCs w:val="24"/>
        </w:rPr>
        <w:t xml:space="preserve"> all 47 county governments to </w:t>
      </w:r>
      <w:r w:rsidR="004F23EB">
        <w:rPr>
          <w:rFonts w:cs="Times New Roman"/>
          <w:bCs/>
          <w:sz w:val="24"/>
          <w:szCs w:val="24"/>
        </w:rPr>
        <w:t xml:space="preserve">strengthen their </w:t>
      </w:r>
      <w:r w:rsidRPr="00846B0F">
        <w:rPr>
          <w:rFonts w:cs="Times New Roman"/>
          <w:bCs/>
          <w:sz w:val="24"/>
          <w:szCs w:val="24"/>
        </w:rPr>
        <w:t xml:space="preserve">financial oversight in accordance with Article 185(3) of the Constitution. The objectives of the training were to: appreciate the gains </w:t>
      </w:r>
      <w:r w:rsidRPr="00846B0F">
        <w:rPr>
          <w:rFonts w:cs="Times New Roman"/>
          <w:bCs/>
          <w:sz w:val="24"/>
          <w:szCs w:val="24"/>
        </w:rPr>
        <w:lastRenderedPageBreak/>
        <w:t xml:space="preserve">made by county assemblies in public finance management oversight; understand and appreciate challenges faced by county assemblies in county financial oversight; enhance the capacity of the county assemblies in undertaking effective county finance oversight; recommend and document solutions to the challenges faced by county assemblies in their oversight role. During these trainings, the CRA noted the following issues which were adversely impacting public financial management: inconsistency between planning documents (County Integrated Development Plan, County Budget Review and Outlook Paper, County Fiscal Strategy Paper and budget estimates); failure to adhere to the law (Constitution, Public Finance Management Act, County Governments Act and other acts and guidelines geared toward proper public financial management); shifts in priorities which are not approved by the Assembly and Controller of Budget; inequitable distribution of resources at the county level; ineffective public participation; procurement of goods, works and services not compliant with ‘value for money; inability to meet county revenue targets. These findings will form core strategies for CRA in its engagement with county governments going forward. </w:t>
      </w:r>
    </w:p>
    <w:p w14:paraId="19042AB4" w14:textId="6F0DA728" w:rsidR="00C62F35" w:rsidRPr="00291E3E" w:rsidRDefault="004169C9" w:rsidP="00291E3E">
      <w:pPr>
        <w:pStyle w:val="Heading2"/>
        <w:numPr>
          <w:ilvl w:val="0"/>
          <w:numId w:val="15"/>
        </w:numPr>
        <w:rPr>
          <w:rFonts w:cs="Times New Roman"/>
          <w:color w:val="00B0F0"/>
          <w:sz w:val="24"/>
          <w:szCs w:val="24"/>
        </w:rPr>
      </w:pPr>
      <w:r w:rsidRPr="00291E3E">
        <w:rPr>
          <w:rFonts w:cs="Times New Roman"/>
          <w:color w:val="00B0F0"/>
          <w:sz w:val="24"/>
          <w:szCs w:val="24"/>
        </w:rPr>
        <w:lastRenderedPageBreak/>
        <w:t xml:space="preserve">Evidence </w:t>
      </w:r>
      <w:r w:rsidR="00073BCE" w:rsidRPr="00291E3E">
        <w:rPr>
          <w:rFonts w:cs="Times New Roman"/>
          <w:color w:val="00B0F0"/>
          <w:sz w:val="24"/>
          <w:szCs w:val="24"/>
        </w:rPr>
        <w:t xml:space="preserve">Based Planning, Budgeting </w:t>
      </w:r>
      <w:r w:rsidR="00073BCE">
        <w:rPr>
          <w:rFonts w:cs="Times New Roman"/>
          <w:color w:val="00B0F0"/>
          <w:sz w:val="24"/>
          <w:szCs w:val="24"/>
        </w:rPr>
        <w:t>f</w:t>
      </w:r>
      <w:r w:rsidR="00073BCE" w:rsidRPr="00291E3E">
        <w:rPr>
          <w:rFonts w:cs="Times New Roman"/>
          <w:color w:val="00B0F0"/>
          <w:sz w:val="24"/>
          <w:szCs w:val="24"/>
        </w:rPr>
        <w:t xml:space="preserve">or Improved Service Delivery </w:t>
      </w:r>
      <w:r w:rsidR="00073BCE">
        <w:rPr>
          <w:rFonts w:cs="Times New Roman"/>
          <w:color w:val="00B0F0"/>
          <w:sz w:val="24"/>
          <w:szCs w:val="24"/>
        </w:rPr>
        <w:t>a</w:t>
      </w:r>
      <w:r w:rsidR="00073BCE" w:rsidRPr="00291E3E">
        <w:rPr>
          <w:rFonts w:cs="Times New Roman"/>
          <w:color w:val="00B0F0"/>
          <w:sz w:val="24"/>
          <w:szCs w:val="24"/>
        </w:rPr>
        <w:t xml:space="preserve">t County Level </w:t>
      </w:r>
      <w:r w:rsidR="00073BCE">
        <w:rPr>
          <w:rFonts w:cs="Times New Roman"/>
          <w:color w:val="00B0F0"/>
          <w:sz w:val="24"/>
          <w:szCs w:val="24"/>
        </w:rPr>
        <w:t>i</w:t>
      </w:r>
      <w:r w:rsidR="00073BCE" w:rsidRPr="00291E3E">
        <w:rPr>
          <w:rFonts w:cs="Times New Roman"/>
          <w:color w:val="00B0F0"/>
          <w:sz w:val="24"/>
          <w:szCs w:val="24"/>
        </w:rPr>
        <w:t xml:space="preserve">n Tandem </w:t>
      </w:r>
      <w:r w:rsidR="00073BCE">
        <w:rPr>
          <w:rFonts w:cs="Times New Roman"/>
          <w:color w:val="00B0F0"/>
          <w:sz w:val="24"/>
          <w:szCs w:val="24"/>
        </w:rPr>
        <w:t>w</w:t>
      </w:r>
      <w:r w:rsidR="00073BCE" w:rsidRPr="00291E3E">
        <w:rPr>
          <w:rFonts w:cs="Times New Roman"/>
          <w:color w:val="00B0F0"/>
          <w:sz w:val="24"/>
          <w:szCs w:val="24"/>
        </w:rPr>
        <w:t xml:space="preserve">ith Reduced Security Threats </w:t>
      </w:r>
      <w:r w:rsidR="00073BCE">
        <w:rPr>
          <w:rFonts w:cs="Times New Roman"/>
          <w:color w:val="00B0F0"/>
          <w:sz w:val="24"/>
          <w:szCs w:val="24"/>
        </w:rPr>
        <w:t>a</w:t>
      </w:r>
      <w:r w:rsidR="00073BCE" w:rsidRPr="00291E3E">
        <w:rPr>
          <w:rFonts w:cs="Times New Roman"/>
          <w:color w:val="00B0F0"/>
          <w:sz w:val="24"/>
          <w:szCs w:val="24"/>
        </w:rPr>
        <w:t xml:space="preserve">nd Improved Response </w:t>
      </w:r>
      <w:r w:rsidR="00073BCE">
        <w:rPr>
          <w:rFonts w:cs="Times New Roman"/>
          <w:color w:val="00B0F0"/>
          <w:sz w:val="24"/>
          <w:szCs w:val="24"/>
        </w:rPr>
        <w:t>t</w:t>
      </w:r>
      <w:r w:rsidR="00073BCE" w:rsidRPr="00291E3E">
        <w:rPr>
          <w:rFonts w:cs="Times New Roman"/>
          <w:color w:val="00B0F0"/>
          <w:sz w:val="24"/>
          <w:szCs w:val="24"/>
        </w:rPr>
        <w:t xml:space="preserve">o Risk </w:t>
      </w:r>
      <w:r w:rsidR="00073BCE">
        <w:rPr>
          <w:rFonts w:cs="Times New Roman"/>
          <w:color w:val="00B0F0"/>
          <w:sz w:val="24"/>
          <w:szCs w:val="24"/>
        </w:rPr>
        <w:t>a</w:t>
      </w:r>
      <w:r w:rsidR="00073BCE" w:rsidRPr="00291E3E">
        <w:rPr>
          <w:rFonts w:cs="Times New Roman"/>
          <w:color w:val="00B0F0"/>
          <w:sz w:val="24"/>
          <w:szCs w:val="24"/>
        </w:rPr>
        <w:t xml:space="preserve">nd Disaster </w:t>
      </w:r>
      <w:r w:rsidR="00073BCE">
        <w:rPr>
          <w:rFonts w:cs="Times New Roman"/>
          <w:color w:val="00B0F0"/>
          <w:sz w:val="24"/>
          <w:szCs w:val="24"/>
        </w:rPr>
        <w:t>i</w:t>
      </w:r>
      <w:r w:rsidR="00073BCE" w:rsidRPr="00291E3E">
        <w:rPr>
          <w:rFonts w:cs="Times New Roman"/>
          <w:color w:val="00B0F0"/>
          <w:sz w:val="24"/>
          <w:szCs w:val="24"/>
        </w:rPr>
        <w:t>n Selected Counties</w:t>
      </w:r>
    </w:p>
    <w:p w14:paraId="4FE6F3A9" w14:textId="77777777" w:rsidR="0038147D" w:rsidRPr="00846B0F" w:rsidRDefault="0038147D" w:rsidP="0038147D">
      <w:pPr>
        <w:spacing w:after="0" w:line="276" w:lineRule="auto"/>
        <w:jc w:val="both"/>
        <w:rPr>
          <w:rFonts w:cs="Times New Roman"/>
          <w:bCs/>
          <w:sz w:val="24"/>
          <w:szCs w:val="24"/>
        </w:rPr>
      </w:pPr>
    </w:p>
    <w:p w14:paraId="6A1E840B" w14:textId="77777777" w:rsidR="004169C9" w:rsidRPr="00846B0F" w:rsidRDefault="004169C9" w:rsidP="004169C9">
      <w:pPr>
        <w:spacing w:after="0" w:line="276" w:lineRule="auto"/>
        <w:jc w:val="both"/>
        <w:rPr>
          <w:rFonts w:cs="Times New Roman"/>
          <w:bCs/>
          <w:sz w:val="24"/>
          <w:szCs w:val="24"/>
        </w:rPr>
      </w:pPr>
      <w:r w:rsidRPr="00846B0F">
        <w:rPr>
          <w:rFonts w:cs="Times New Roman"/>
          <w:bCs/>
          <w:sz w:val="24"/>
          <w:szCs w:val="24"/>
        </w:rPr>
        <w:t>El</w:t>
      </w:r>
      <w:r w:rsidR="00A960BD">
        <w:rPr>
          <w:rFonts w:cs="Times New Roman"/>
          <w:bCs/>
          <w:sz w:val="24"/>
          <w:szCs w:val="24"/>
        </w:rPr>
        <w:t xml:space="preserve"> </w:t>
      </w:r>
      <w:r w:rsidRPr="00846B0F">
        <w:rPr>
          <w:rFonts w:cs="Times New Roman"/>
          <w:bCs/>
          <w:sz w:val="24"/>
          <w:szCs w:val="24"/>
        </w:rPr>
        <w:t xml:space="preserve">Nino preparedness at both </w:t>
      </w:r>
      <w:r w:rsidR="00846B0F">
        <w:rPr>
          <w:rFonts w:cs="Times New Roman"/>
          <w:bCs/>
          <w:sz w:val="24"/>
          <w:szCs w:val="24"/>
        </w:rPr>
        <w:t>n</w:t>
      </w:r>
      <w:r w:rsidRPr="00846B0F">
        <w:rPr>
          <w:rFonts w:cs="Times New Roman"/>
          <w:bCs/>
          <w:sz w:val="24"/>
          <w:szCs w:val="24"/>
        </w:rPr>
        <w:t xml:space="preserve">ational and </w:t>
      </w:r>
      <w:r w:rsidR="00846B0F">
        <w:rPr>
          <w:rFonts w:cs="Times New Roman"/>
          <w:bCs/>
          <w:sz w:val="24"/>
          <w:szCs w:val="24"/>
        </w:rPr>
        <w:t>c</w:t>
      </w:r>
      <w:r w:rsidRPr="00846B0F">
        <w:rPr>
          <w:rFonts w:cs="Times New Roman"/>
          <w:bCs/>
          <w:sz w:val="24"/>
          <w:szCs w:val="24"/>
        </w:rPr>
        <w:t>ounty levels</w:t>
      </w:r>
      <w:r w:rsidR="0038147D" w:rsidRPr="00846B0F">
        <w:rPr>
          <w:rFonts w:cs="Times New Roman"/>
          <w:bCs/>
          <w:sz w:val="24"/>
          <w:szCs w:val="24"/>
        </w:rPr>
        <w:t xml:space="preserve"> was increased </w:t>
      </w:r>
      <w:r w:rsidRPr="00846B0F">
        <w:rPr>
          <w:rFonts w:cs="Times New Roman"/>
          <w:bCs/>
          <w:sz w:val="24"/>
          <w:szCs w:val="24"/>
        </w:rPr>
        <w:t>in response to the early warning issued by the Ken</w:t>
      </w:r>
      <w:r w:rsidR="0038147D" w:rsidRPr="00846B0F">
        <w:rPr>
          <w:rFonts w:cs="Times New Roman"/>
          <w:bCs/>
          <w:sz w:val="24"/>
          <w:szCs w:val="24"/>
        </w:rPr>
        <w:t xml:space="preserve">ya Meteorological Department. </w:t>
      </w:r>
      <w:r w:rsidRPr="00846B0F">
        <w:rPr>
          <w:rFonts w:cs="Times New Roman"/>
          <w:bCs/>
          <w:sz w:val="24"/>
          <w:szCs w:val="24"/>
        </w:rPr>
        <w:t>Training and technical support was provided to 24 priority counties to ensure effective El Nino preparedness</w:t>
      </w:r>
      <w:r w:rsidR="00ED3FA3">
        <w:rPr>
          <w:rFonts w:cs="Times New Roman"/>
          <w:bCs/>
          <w:sz w:val="24"/>
          <w:szCs w:val="24"/>
        </w:rPr>
        <w:t xml:space="preserve">; towards this, county </w:t>
      </w:r>
      <w:r w:rsidRPr="00846B0F">
        <w:rPr>
          <w:rFonts w:cs="Times New Roman"/>
          <w:bCs/>
          <w:sz w:val="24"/>
          <w:szCs w:val="24"/>
        </w:rPr>
        <w:t xml:space="preserve">response plans and strategies were </w:t>
      </w:r>
      <w:r w:rsidR="0038147D" w:rsidRPr="00846B0F">
        <w:rPr>
          <w:rFonts w:cs="Times New Roman"/>
          <w:bCs/>
          <w:sz w:val="24"/>
          <w:szCs w:val="24"/>
        </w:rPr>
        <w:t xml:space="preserve">put </w:t>
      </w:r>
      <w:r w:rsidRPr="00846B0F">
        <w:rPr>
          <w:rFonts w:cs="Times New Roman"/>
          <w:bCs/>
          <w:sz w:val="24"/>
          <w:szCs w:val="24"/>
        </w:rPr>
        <w:t xml:space="preserve">in place. To address specific needs of the target counties, a series </w:t>
      </w:r>
      <w:r w:rsidR="0038147D" w:rsidRPr="00846B0F">
        <w:rPr>
          <w:rFonts w:cs="Times New Roman"/>
          <w:bCs/>
          <w:sz w:val="24"/>
          <w:szCs w:val="24"/>
        </w:rPr>
        <w:t xml:space="preserve">of </w:t>
      </w:r>
      <w:r w:rsidRPr="00846B0F">
        <w:rPr>
          <w:rFonts w:cs="Times New Roman"/>
          <w:bCs/>
          <w:sz w:val="24"/>
          <w:szCs w:val="24"/>
        </w:rPr>
        <w:t xml:space="preserve">rapid assessments were conducted to establish the level of preparedness in terms of capacity of human and financial resources </w:t>
      </w:r>
      <w:r w:rsidR="0038147D" w:rsidRPr="00846B0F">
        <w:rPr>
          <w:rFonts w:cs="Times New Roman"/>
          <w:bCs/>
          <w:sz w:val="24"/>
          <w:szCs w:val="24"/>
        </w:rPr>
        <w:t xml:space="preserve">and </w:t>
      </w:r>
      <w:r w:rsidRPr="00846B0F">
        <w:rPr>
          <w:rFonts w:cs="Times New Roman"/>
          <w:bCs/>
          <w:sz w:val="24"/>
          <w:szCs w:val="24"/>
        </w:rPr>
        <w:t>whether response plans were in place and their adequacy. Through the process, the counties were able to identify their level of vulnerability and potential</w:t>
      </w:r>
      <w:r w:rsidR="0038147D" w:rsidRPr="00846B0F">
        <w:rPr>
          <w:rFonts w:cs="Times New Roman"/>
          <w:bCs/>
          <w:sz w:val="24"/>
          <w:szCs w:val="24"/>
        </w:rPr>
        <w:t xml:space="preserve"> or </w:t>
      </w:r>
      <w:r w:rsidRPr="00846B0F">
        <w:rPr>
          <w:rFonts w:cs="Times New Roman"/>
          <w:bCs/>
          <w:sz w:val="24"/>
          <w:szCs w:val="24"/>
        </w:rPr>
        <w:t>possible coping strategies for El Nino impacts. Based on the findings, training was conducted to address the immediate capacity gaps for first response to El</w:t>
      </w:r>
      <w:r w:rsidR="00A960BD">
        <w:rPr>
          <w:rFonts w:cs="Times New Roman"/>
          <w:bCs/>
          <w:sz w:val="24"/>
          <w:szCs w:val="24"/>
        </w:rPr>
        <w:t xml:space="preserve"> </w:t>
      </w:r>
      <w:r w:rsidRPr="00846B0F">
        <w:rPr>
          <w:rFonts w:cs="Times New Roman"/>
          <w:bCs/>
          <w:sz w:val="24"/>
          <w:szCs w:val="24"/>
        </w:rPr>
        <w:t xml:space="preserve">Nino impacts and to strengthen their response plans. Recommendations were also made for long term measures and capacity building requirements. </w:t>
      </w:r>
    </w:p>
    <w:p w14:paraId="2FBC782F" w14:textId="77777777" w:rsidR="004169C9" w:rsidRPr="00846B0F" w:rsidRDefault="004169C9" w:rsidP="004169C9">
      <w:pPr>
        <w:spacing w:after="0" w:line="276" w:lineRule="auto"/>
        <w:jc w:val="both"/>
        <w:rPr>
          <w:rFonts w:cs="Times New Roman"/>
          <w:bCs/>
          <w:sz w:val="24"/>
          <w:szCs w:val="24"/>
        </w:rPr>
      </w:pPr>
    </w:p>
    <w:p w14:paraId="6C5B62E9" w14:textId="77777777" w:rsidR="0038147D" w:rsidRPr="00846B0F" w:rsidRDefault="004169C9" w:rsidP="0038147D">
      <w:pPr>
        <w:spacing w:after="0" w:line="276" w:lineRule="auto"/>
        <w:jc w:val="both"/>
        <w:rPr>
          <w:rFonts w:cs="Times New Roman"/>
          <w:bCs/>
          <w:sz w:val="24"/>
          <w:szCs w:val="24"/>
        </w:rPr>
      </w:pPr>
      <w:r w:rsidRPr="00846B0F">
        <w:rPr>
          <w:rFonts w:cs="Times New Roman"/>
          <w:bCs/>
          <w:sz w:val="24"/>
          <w:szCs w:val="24"/>
        </w:rPr>
        <w:t>The 24 counties</w:t>
      </w:r>
      <w:r w:rsidR="001269F3" w:rsidRPr="00846B0F">
        <w:rPr>
          <w:rStyle w:val="FootnoteReference"/>
          <w:rFonts w:cs="Times New Roman"/>
          <w:bCs/>
          <w:sz w:val="24"/>
          <w:szCs w:val="24"/>
        </w:rPr>
        <w:footnoteReference w:id="2"/>
      </w:r>
      <w:r w:rsidRPr="00846B0F">
        <w:rPr>
          <w:rFonts w:cs="Times New Roman"/>
          <w:bCs/>
          <w:sz w:val="24"/>
          <w:szCs w:val="24"/>
        </w:rPr>
        <w:t xml:space="preserve"> were selected was based on the traditional and emerging flood areas and existing vulnerabilities including cholera outbreaks, history of landslides and counties with populations displaced by conflict. The counties were clustered for ease of delivery of the training. In total 9</w:t>
      </w:r>
      <w:r w:rsidR="00A10DC4" w:rsidRPr="00846B0F">
        <w:rPr>
          <w:rFonts w:cs="Times New Roman"/>
          <w:bCs/>
          <w:sz w:val="24"/>
          <w:szCs w:val="24"/>
        </w:rPr>
        <w:t>29</w:t>
      </w:r>
      <w:r w:rsidRPr="00846B0F">
        <w:rPr>
          <w:rFonts w:cs="Times New Roman"/>
          <w:bCs/>
          <w:sz w:val="24"/>
          <w:szCs w:val="24"/>
        </w:rPr>
        <w:t xml:space="preserve"> </w:t>
      </w:r>
      <w:r w:rsidR="00961CEE" w:rsidRPr="00846B0F">
        <w:rPr>
          <w:rFonts w:cs="Times New Roman"/>
          <w:bCs/>
          <w:sz w:val="24"/>
          <w:szCs w:val="24"/>
        </w:rPr>
        <w:t>officer</w:t>
      </w:r>
      <w:r w:rsidR="00961CEE">
        <w:rPr>
          <w:rFonts w:cs="Times New Roman"/>
          <w:bCs/>
          <w:sz w:val="24"/>
          <w:szCs w:val="24"/>
        </w:rPr>
        <w:t xml:space="preserve">s </w:t>
      </w:r>
      <w:r w:rsidRPr="00846B0F">
        <w:rPr>
          <w:rFonts w:cs="Times New Roman"/>
          <w:bCs/>
          <w:sz w:val="24"/>
          <w:szCs w:val="24"/>
        </w:rPr>
        <w:t xml:space="preserve">were </w:t>
      </w:r>
      <w:r w:rsidRPr="00846B0F">
        <w:rPr>
          <w:rFonts w:cs="Times New Roman"/>
          <w:bCs/>
          <w:sz w:val="24"/>
          <w:szCs w:val="24"/>
        </w:rPr>
        <w:lastRenderedPageBreak/>
        <w:t>trained in disaster preparedness and response</w:t>
      </w:r>
      <w:r w:rsidR="00A10DC4" w:rsidRPr="00846B0F">
        <w:rPr>
          <w:rFonts w:cs="Times New Roman"/>
          <w:bCs/>
          <w:sz w:val="24"/>
          <w:szCs w:val="24"/>
        </w:rPr>
        <w:t xml:space="preserve"> including 610 males and 319 females. </w:t>
      </w:r>
      <w:r w:rsidR="0038147D" w:rsidRPr="00846B0F">
        <w:rPr>
          <w:rFonts w:cs="Times New Roman"/>
          <w:bCs/>
          <w:sz w:val="24"/>
          <w:szCs w:val="24"/>
        </w:rPr>
        <w:t xml:space="preserve">The National Disaster Operations Centre (NDOC) was supported to upgrade its emergency operation </w:t>
      </w:r>
      <w:proofErr w:type="spellStart"/>
      <w:r w:rsidR="0038147D" w:rsidRPr="00846B0F">
        <w:rPr>
          <w:rFonts w:cs="Times New Roman"/>
          <w:bCs/>
          <w:sz w:val="24"/>
          <w:szCs w:val="24"/>
        </w:rPr>
        <w:t>centre</w:t>
      </w:r>
      <w:proofErr w:type="spellEnd"/>
      <w:r w:rsidR="0038147D" w:rsidRPr="00846B0F">
        <w:rPr>
          <w:rFonts w:cs="Times New Roman"/>
          <w:bCs/>
          <w:sz w:val="24"/>
          <w:szCs w:val="24"/>
        </w:rPr>
        <w:t xml:space="preserve"> through provision of equipment and communication facilities in order to enhance its efficiency in monitoring disasters and coordinating the management of disasters at both National and County level. </w:t>
      </w:r>
    </w:p>
    <w:p w14:paraId="08EE7B8F" w14:textId="77777777" w:rsidR="004169C9" w:rsidRPr="00846B0F" w:rsidRDefault="004169C9" w:rsidP="004169C9">
      <w:pPr>
        <w:spacing w:after="0" w:line="276" w:lineRule="auto"/>
        <w:jc w:val="both"/>
        <w:rPr>
          <w:rFonts w:cs="Times New Roman"/>
          <w:bCs/>
          <w:sz w:val="24"/>
          <w:szCs w:val="24"/>
        </w:rPr>
      </w:pPr>
    </w:p>
    <w:p w14:paraId="4006DA9E" w14:textId="3C790206" w:rsidR="00E07CAC" w:rsidRDefault="00232B66" w:rsidP="002C532F">
      <w:pPr>
        <w:spacing w:after="0" w:line="276" w:lineRule="auto"/>
        <w:jc w:val="both"/>
        <w:rPr>
          <w:rFonts w:cs="Times New Roman"/>
          <w:bCs/>
          <w:sz w:val="24"/>
          <w:szCs w:val="24"/>
        </w:rPr>
      </w:pPr>
      <w:r w:rsidRPr="00846B0F">
        <w:rPr>
          <w:rFonts w:cs="Times New Roman"/>
          <w:bCs/>
          <w:sz w:val="24"/>
          <w:szCs w:val="24"/>
        </w:rPr>
        <w:t>CECs in charge of fina</w:t>
      </w:r>
      <w:r w:rsidR="0038147D" w:rsidRPr="00846B0F">
        <w:rPr>
          <w:rFonts w:cs="Times New Roman"/>
          <w:bCs/>
          <w:sz w:val="24"/>
          <w:szCs w:val="24"/>
        </w:rPr>
        <w:t>nce and planning through IBEC discussed</w:t>
      </w:r>
      <w:r w:rsidRPr="00846B0F">
        <w:rPr>
          <w:rFonts w:cs="Times New Roman"/>
          <w:bCs/>
          <w:sz w:val="24"/>
          <w:szCs w:val="24"/>
        </w:rPr>
        <w:t xml:space="preserve"> ways of strengthening their role through the integration of the various processes related to PFM at county level. The meeting was attended by 37 out of the 47 CECs. The meeting reached a number of agreements including: automation of systems for revenue collection; charging of uniform tariffs and/or rates in order to ease the cost of doing business in the counties; establishment of county courts to ease litigation; cap the amendments by MCAs to the county budget at not more than 5% by amending the PFM Act; establish a forum for CECs in-charge of finance and planning which would meet with CS Treasury to discuss public finance management issues between the national and county governments; Controller of Budget and Auditor General to consult and collaborate on budget and economic matters with counties.</w:t>
      </w:r>
      <w:r w:rsidR="001269F3" w:rsidRPr="00846B0F">
        <w:rPr>
          <w:rFonts w:cs="Times New Roman"/>
          <w:bCs/>
          <w:sz w:val="24"/>
          <w:szCs w:val="24"/>
        </w:rPr>
        <w:t xml:space="preserve"> </w:t>
      </w:r>
      <w:r w:rsidR="002C532F">
        <w:rPr>
          <w:rFonts w:cs="Times New Roman"/>
          <w:bCs/>
          <w:sz w:val="24"/>
          <w:szCs w:val="24"/>
        </w:rPr>
        <w:t xml:space="preserve">This dialogue led the National Treasury to issue budget ceiling guidelines to county assemblies requesting them to </w:t>
      </w:r>
      <w:r w:rsidR="002C532F" w:rsidRPr="00CD20E3">
        <w:rPr>
          <w:rFonts w:ascii="Times New Roman" w:hAnsi="Times New Roman" w:cs="Times New Roman"/>
          <w:sz w:val="24"/>
          <w:szCs w:val="24"/>
        </w:rPr>
        <w:t>ad</w:t>
      </w:r>
      <w:r w:rsidR="002C532F" w:rsidRPr="002348EE">
        <w:rPr>
          <w:rFonts w:cs="Times New Roman"/>
          <w:bCs/>
          <w:sz w:val="24"/>
          <w:szCs w:val="24"/>
        </w:rPr>
        <w:t>here to the budget ceilings set by the County Fiscal Strategy Paper.</w:t>
      </w:r>
      <w:r w:rsidR="002C532F" w:rsidRPr="00CD20E3">
        <w:rPr>
          <w:rFonts w:ascii="Times New Roman" w:hAnsi="Times New Roman" w:cs="Times New Roman"/>
          <w:sz w:val="24"/>
          <w:szCs w:val="24"/>
        </w:rPr>
        <w:t xml:space="preserve"> </w:t>
      </w:r>
      <w:r w:rsidR="00E07CAC">
        <w:rPr>
          <w:rFonts w:cs="Times New Roman"/>
          <w:bCs/>
          <w:sz w:val="24"/>
          <w:szCs w:val="24"/>
        </w:rPr>
        <w:br w:type="page"/>
      </w:r>
    </w:p>
    <w:p w14:paraId="61FDA5AE" w14:textId="497EBE30" w:rsidR="00856C21" w:rsidRPr="00291E3E" w:rsidRDefault="00856C21" w:rsidP="00291E3E">
      <w:pPr>
        <w:pStyle w:val="Heading2"/>
        <w:numPr>
          <w:ilvl w:val="0"/>
          <w:numId w:val="15"/>
        </w:numPr>
        <w:rPr>
          <w:rFonts w:cs="Times New Roman"/>
          <w:color w:val="00B0F0"/>
          <w:sz w:val="24"/>
          <w:szCs w:val="24"/>
        </w:rPr>
      </w:pPr>
      <w:r w:rsidRPr="00291E3E">
        <w:rPr>
          <w:rFonts w:cs="Times New Roman"/>
          <w:color w:val="00B0F0"/>
          <w:sz w:val="24"/>
          <w:szCs w:val="24"/>
        </w:rPr>
        <w:lastRenderedPageBreak/>
        <w:t xml:space="preserve">Project </w:t>
      </w:r>
      <w:r w:rsidR="00073BCE">
        <w:rPr>
          <w:rFonts w:cs="Times New Roman"/>
          <w:color w:val="00B0F0"/>
          <w:sz w:val="24"/>
          <w:szCs w:val="24"/>
        </w:rPr>
        <w:t>M</w:t>
      </w:r>
      <w:r w:rsidRPr="00291E3E">
        <w:rPr>
          <w:rFonts w:cs="Times New Roman"/>
          <w:color w:val="00B0F0"/>
          <w:sz w:val="24"/>
          <w:szCs w:val="24"/>
        </w:rPr>
        <w:t xml:space="preserve">anagement </w:t>
      </w:r>
    </w:p>
    <w:p w14:paraId="5AC9EC96" w14:textId="77777777" w:rsidR="00856C21" w:rsidRPr="00846B0F" w:rsidRDefault="00856C21" w:rsidP="00363730">
      <w:pPr>
        <w:spacing w:after="0" w:line="276" w:lineRule="auto"/>
        <w:jc w:val="both"/>
        <w:rPr>
          <w:rFonts w:cs="Times New Roman"/>
          <w:color w:val="000000" w:themeColor="text1"/>
          <w:sz w:val="24"/>
          <w:szCs w:val="24"/>
        </w:rPr>
      </w:pPr>
    </w:p>
    <w:p w14:paraId="0F86114F" w14:textId="77777777" w:rsidR="000D0B68" w:rsidRPr="00846B0F" w:rsidRDefault="000D0B68" w:rsidP="000D0B68">
      <w:pPr>
        <w:spacing w:after="0" w:line="276" w:lineRule="auto"/>
        <w:jc w:val="both"/>
        <w:rPr>
          <w:rFonts w:cs="Times New Roman"/>
          <w:bCs/>
          <w:sz w:val="24"/>
          <w:szCs w:val="24"/>
        </w:rPr>
      </w:pPr>
      <w:r w:rsidRPr="00846B0F">
        <w:rPr>
          <w:rFonts w:cs="Times New Roman"/>
          <w:bCs/>
          <w:sz w:val="24"/>
          <w:szCs w:val="24"/>
        </w:rPr>
        <w:t xml:space="preserve">Project management capacities of implementing partners were enhanced. Two project management training sessions were conducted by UNDP </w:t>
      </w:r>
      <w:r w:rsidR="002E54CE">
        <w:rPr>
          <w:rFonts w:cs="Times New Roman"/>
          <w:bCs/>
          <w:sz w:val="24"/>
          <w:szCs w:val="24"/>
        </w:rPr>
        <w:t>that</w:t>
      </w:r>
      <w:r w:rsidR="002E54CE" w:rsidRPr="00846B0F">
        <w:rPr>
          <w:rFonts w:cs="Times New Roman"/>
          <w:bCs/>
          <w:sz w:val="24"/>
          <w:szCs w:val="24"/>
        </w:rPr>
        <w:t xml:space="preserve"> </w:t>
      </w:r>
      <w:r w:rsidRPr="00846B0F">
        <w:rPr>
          <w:rFonts w:cs="Times New Roman"/>
          <w:bCs/>
          <w:sz w:val="24"/>
          <w:szCs w:val="24"/>
        </w:rPr>
        <w:t>focused on programme management and reporting of results. Areas covered included</w:t>
      </w:r>
      <w:r w:rsidR="00ED5F26" w:rsidRPr="00846B0F">
        <w:rPr>
          <w:rFonts w:cs="Times New Roman"/>
          <w:bCs/>
          <w:sz w:val="24"/>
          <w:szCs w:val="24"/>
        </w:rPr>
        <w:t>:</w:t>
      </w:r>
      <w:r w:rsidRPr="00846B0F">
        <w:rPr>
          <w:rFonts w:cs="Times New Roman"/>
          <w:bCs/>
          <w:sz w:val="24"/>
          <w:szCs w:val="24"/>
        </w:rPr>
        <w:t xml:space="preserve"> development of project annual work plans and procurement plans</w:t>
      </w:r>
      <w:r w:rsidR="00ED5F26" w:rsidRPr="00846B0F">
        <w:rPr>
          <w:rFonts w:cs="Times New Roman"/>
          <w:bCs/>
          <w:sz w:val="24"/>
          <w:szCs w:val="24"/>
        </w:rPr>
        <w:t>;</w:t>
      </w:r>
      <w:r w:rsidRPr="00846B0F">
        <w:rPr>
          <w:rFonts w:cs="Times New Roman"/>
          <w:bCs/>
          <w:sz w:val="24"/>
          <w:szCs w:val="24"/>
        </w:rPr>
        <w:t xml:space="preserve"> effectiveness and efficiency in monitoring</w:t>
      </w:r>
      <w:r w:rsidR="00ED5F26" w:rsidRPr="00846B0F">
        <w:rPr>
          <w:rFonts w:cs="Times New Roman"/>
          <w:bCs/>
          <w:sz w:val="24"/>
          <w:szCs w:val="24"/>
        </w:rPr>
        <w:t>;</w:t>
      </w:r>
      <w:r w:rsidRPr="00846B0F">
        <w:rPr>
          <w:rFonts w:cs="Times New Roman"/>
          <w:bCs/>
          <w:sz w:val="24"/>
          <w:szCs w:val="24"/>
        </w:rPr>
        <w:t xml:space="preserve"> evaluation and reporting of results</w:t>
      </w:r>
      <w:r w:rsidR="00ED5F26" w:rsidRPr="00846B0F">
        <w:rPr>
          <w:rFonts w:cs="Times New Roman"/>
          <w:bCs/>
          <w:sz w:val="24"/>
          <w:szCs w:val="24"/>
        </w:rPr>
        <w:t>;</w:t>
      </w:r>
      <w:r w:rsidRPr="00846B0F">
        <w:rPr>
          <w:rFonts w:cs="Times New Roman"/>
          <w:bCs/>
          <w:sz w:val="24"/>
          <w:szCs w:val="24"/>
        </w:rPr>
        <w:t xml:space="preserve"> UNDP programme mana</w:t>
      </w:r>
      <w:r w:rsidR="00A64B00" w:rsidRPr="00846B0F">
        <w:rPr>
          <w:rFonts w:cs="Times New Roman"/>
          <w:bCs/>
          <w:sz w:val="24"/>
          <w:szCs w:val="24"/>
        </w:rPr>
        <w:t>gement policies and procedures.</w:t>
      </w:r>
    </w:p>
    <w:p w14:paraId="2552BCDF" w14:textId="77777777" w:rsidR="00856C21" w:rsidRPr="00846B0F" w:rsidRDefault="00856C21" w:rsidP="00363730">
      <w:pPr>
        <w:spacing w:after="0" w:line="276" w:lineRule="auto"/>
        <w:jc w:val="both"/>
        <w:rPr>
          <w:rFonts w:cs="Times New Roman"/>
          <w:bCs/>
          <w:sz w:val="24"/>
          <w:szCs w:val="24"/>
        </w:rPr>
      </w:pPr>
    </w:p>
    <w:p w14:paraId="72248130" w14:textId="77777777" w:rsidR="0058487D" w:rsidRPr="00846B0F" w:rsidRDefault="007D4C22" w:rsidP="00363730">
      <w:pPr>
        <w:spacing w:after="0" w:line="276" w:lineRule="auto"/>
        <w:jc w:val="both"/>
        <w:rPr>
          <w:rFonts w:cs="Times New Roman"/>
          <w:bCs/>
          <w:sz w:val="24"/>
          <w:szCs w:val="24"/>
        </w:rPr>
      </w:pPr>
      <w:r w:rsidRPr="00846B0F">
        <w:rPr>
          <w:rFonts w:cs="Times New Roman"/>
          <w:bCs/>
          <w:sz w:val="24"/>
          <w:szCs w:val="24"/>
        </w:rPr>
        <w:t xml:space="preserve">During the year, the programme continued to support the project support team through the </w:t>
      </w:r>
      <w:r w:rsidR="00526F35">
        <w:rPr>
          <w:rFonts w:cs="Times New Roman"/>
          <w:bCs/>
          <w:sz w:val="24"/>
          <w:szCs w:val="24"/>
        </w:rPr>
        <w:t>t</w:t>
      </w:r>
      <w:r w:rsidRPr="00846B0F">
        <w:rPr>
          <w:rFonts w:cs="Times New Roman"/>
          <w:bCs/>
          <w:sz w:val="24"/>
          <w:szCs w:val="24"/>
        </w:rPr>
        <w:t xml:space="preserve">echnical </w:t>
      </w:r>
      <w:r w:rsidR="00526F35">
        <w:rPr>
          <w:rFonts w:cs="Times New Roman"/>
          <w:bCs/>
          <w:sz w:val="24"/>
          <w:szCs w:val="24"/>
        </w:rPr>
        <w:t>a</w:t>
      </w:r>
      <w:r w:rsidRPr="00846B0F">
        <w:rPr>
          <w:rFonts w:cs="Times New Roman"/>
          <w:bCs/>
          <w:sz w:val="24"/>
          <w:szCs w:val="24"/>
        </w:rPr>
        <w:t xml:space="preserve">dvisor and the M&amp;E </w:t>
      </w:r>
      <w:r w:rsidR="00526F35">
        <w:rPr>
          <w:rFonts w:cs="Times New Roman"/>
          <w:bCs/>
          <w:sz w:val="24"/>
          <w:szCs w:val="24"/>
        </w:rPr>
        <w:t>o</w:t>
      </w:r>
      <w:r w:rsidRPr="00846B0F">
        <w:rPr>
          <w:rFonts w:cs="Times New Roman"/>
          <w:bCs/>
          <w:sz w:val="24"/>
          <w:szCs w:val="24"/>
        </w:rPr>
        <w:t xml:space="preserve">fficer. </w:t>
      </w:r>
      <w:r w:rsidR="00526F35">
        <w:rPr>
          <w:rFonts w:cs="Times New Roman"/>
          <w:bCs/>
          <w:sz w:val="24"/>
          <w:szCs w:val="24"/>
        </w:rPr>
        <w:t>In the first quarter of 2016, a project manager and project assistant were hired</w:t>
      </w:r>
      <w:r w:rsidR="003672AE">
        <w:rPr>
          <w:rFonts w:cs="Times New Roman"/>
          <w:bCs/>
          <w:sz w:val="24"/>
          <w:szCs w:val="24"/>
        </w:rPr>
        <w:t xml:space="preserve"> to strengthen the programmatic operations of the project</w:t>
      </w:r>
      <w:r w:rsidR="00526F35">
        <w:rPr>
          <w:rFonts w:cs="Times New Roman"/>
          <w:bCs/>
          <w:sz w:val="24"/>
          <w:szCs w:val="24"/>
        </w:rPr>
        <w:t xml:space="preserve">. A project officer will join the project during the second quarter. </w:t>
      </w:r>
    </w:p>
    <w:p w14:paraId="7D7D07E5" w14:textId="77777777" w:rsidR="00626626" w:rsidRPr="00846B0F" w:rsidRDefault="00626626" w:rsidP="00363730">
      <w:pPr>
        <w:spacing w:after="0" w:line="276" w:lineRule="auto"/>
        <w:jc w:val="both"/>
        <w:rPr>
          <w:rFonts w:cs="Times New Roman"/>
          <w:color w:val="000000" w:themeColor="text1"/>
          <w:sz w:val="24"/>
          <w:szCs w:val="24"/>
        </w:rPr>
      </w:pPr>
    </w:p>
    <w:p w14:paraId="40A4C6F7" w14:textId="77777777" w:rsidR="00107B5F" w:rsidRPr="00846B0F" w:rsidRDefault="002903E9" w:rsidP="00363730">
      <w:pPr>
        <w:pStyle w:val="Norway2"/>
        <w:spacing w:line="276" w:lineRule="auto"/>
        <w:ind w:hanging="720"/>
        <w:rPr>
          <w:rFonts w:cs="Times New Roman"/>
        </w:rPr>
      </w:pPr>
      <w:bookmarkStart w:id="11" w:name="_Toc414459842"/>
      <w:bookmarkStart w:id="12" w:name="_Toc447029781"/>
      <w:r w:rsidRPr="00846B0F">
        <w:rPr>
          <w:rFonts w:cs="Times New Roman"/>
        </w:rPr>
        <w:t>Resource Utilization</w:t>
      </w:r>
      <w:bookmarkEnd w:id="11"/>
      <w:bookmarkEnd w:id="12"/>
      <w:r w:rsidRPr="00846B0F">
        <w:rPr>
          <w:rFonts w:cs="Times New Roman"/>
        </w:rPr>
        <w:t xml:space="preserve"> </w:t>
      </w:r>
    </w:p>
    <w:p w14:paraId="0C71C56E" w14:textId="77777777" w:rsidR="002E6B98" w:rsidRPr="00846B0F" w:rsidRDefault="002E6B98" w:rsidP="00363730">
      <w:pPr>
        <w:spacing w:after="0" w:line="276" w:lineRule="auto"/>
        <w:rPr>
          <w:rFonts w:cs="Times New Roman"/>
          <w:sz w:val="24"/>
          <w:szCs w:val="24"/>
        </w:rPr>
      </w:pPr>
    </w:p>
    <w:p w14:paraId="03AFBC52" w14:textId="77777777" w:rsidR="005D4A67" w:rsidRPr="00846B0F" w:rsidRDefault="00136414" w:rsidP="00E44260">
      <w:pPr>
        <w:spacing w:after="0" w:line="276" w:lineRule="auto"/>
        <w:jc w:val="both"/>
        <w:rPr>
          <w:rFonts w:cs="Times New Roman"/>
          <w:sz w:val="24"/>
          <w:szCs w:val="24"/>
        </w:rPr>
      </w:pPr>
      <w:r w:rsidRPr="00846B0F">
        <w:rPr>
          <w:rFonts w:cs="Times New Roman"/>
          <w:sz w:val="24"/>
          <w:szCs w:val="24"/>
        </w:rPr>
        <w:t xml:space="preserve">The </w:t>
      </w:r>
      <w:r w:rsidR="00E44260" w:rsidRPr="00846B0F">
        <w:rPr>
          <w:rFonts w:cs="Times New Roman"/>
          <w:sz w:val="24"/>
          <w:szCs w:val="24"/>
        </w:rPr>
        <w:t xml:space="preserve">Government of Norway </w:t>
      </w:r>
      <w:r w:rsidRPr="00846B0F">
        <w:rPr>
          <w:rFonts w:cs="Times New Roman"/>
          <w:sz w:val="24"/>
          <w:szCs w:val="24"/>
        </w:rPr>
        <w:t xml:space="preserve">had committed </w:t>
      </w:r>
      <w:r w:rsidR="00E44260" w:rsidRPr="00846B0F">
        <w:rPr>
          <w:rFonts w:cs="Times New Roman"/>
          <w:sz w:val="24"/>
          <w:szCs w:val="24"/>
        </w:rPr>
        <w:t>to contribute Norwegian Kroner (NOK) 10,500,000 to the UNDP basket managed resources. The first disbursement of this contribution amounting to NOK 6,500,000 was made in December 2014. A second disbursement of NOK 2,</w:t>
      </w:r>
      <w:r w:rsidR="006C38EB" w:rsidRPr="00846B0F">
        <w:rPr>
          <w:rFonts w:cs="Times New Roman"/>
          <w:sz w:val="24"/>
          <w:szCs w:val="24"/>
        </w:rPr>
        <w:t>5</w:t>
      </w:r>
      <w:r w:rsidR="00E44260" w:rsidRPr="00846B0F">
        <w:rPr>
          <w:rFonts w:cs="Times New Roman"/>
          <w:sz w:val="24"/>
          <w:szCs w:val="24"/>
        </w:rPr>
        <w:t xml:space="preserve">00,000 was done in September 2015. A further NOK 1,500,000 is </w:t>
      </w:r>
      <w:r w:rsidR="005D4A67" w:rsidRPr="00846B0F">
        <w:rPr>
          <w:rFonts w:cs="Times New Roman"/>
          <w:sz w:val="24"/>
          <w:szCs w:val="24"/>
        </w:rPr>
        <w:t>yet to be</w:t>
      </w:r>
      <w:r w:rsidR="00E44260" w:rsidRPr="00846B0F">
        <w:rPr>
          <w:rFonts w:cs="Times New Roman"/>
          <w:sz w:val="24"/>
          <w:szCs w:val="24"/>
        </w:rPr>
        <w:t xml:space="preserve"> disbursed as per the signed agreement.</w:t>
      </w:r>
      <w:r w:rsidRPr="00846B0F">
        <w:rPr>
          <w:rFonts w:cs="Times New Roman"/>
          <w:sz w:val="24"/>
          <w:szCs w:val="24"/>
        </w:rPr>
        <w:t xml:space="preserve"> </w:t>
      </w:r>
      <w:r w:rsidR="005D4A67" w:rsidRPr="00846B0F">
        <w:rPr>
          <w:rFonts w:cs="Times New Roman"/>
          <w:sz w:val="24"/>
          <w:szCs w:val="24"/>
        </w:rPr>
        <w:t xml:space="preserve"> The following is the USD equivalent of the resources received so far:</w:t>
      </w:r>
    </w:p>
    <w:p w14:paraId="07D8417A" w14:textId="77777777" w:rsidR="005D4A67" w:rsidRPr="00846B0F" w:rsidRDefault="005D4A67" w:rsidP="00E44260">
      <w:pPr>
        <w:spacing w:after="0" w:line="276" w:lineRule="auto"/>
        <w:jc w:val="both"/>
        <w:rPr>
          <w:rFonts w:cs="Times New Roman"/>
          <w:sz w:val="24"/>
          <w:szCs w:val="24"/>
        </w:rPr>
      </w:pPr>
    </w:p>
    <w:tbl>
      <w:tblPr>
        <w:tblStyle w:val="TableGrid"/>
        <w:tblW w:w="9786" w:type="dxa"/>
        <w:tblInd w:w="-5" w:type="dxa"/>
        <w:tblLook w:val="04A0" w:firstRow="1" w:lastRow="0" w:firstColumn="1" w:lastColumn="0" w:noHBand="0" w:noVBand="1"/>
      </w:tblPr>
      <w:tblGrid>
        <w:gridCol w:w="5002"/>
        <w:gridCol w:w="2283"/>
        <w:gridCol w:w="2501"/>
      </w:tblGrid>
      <w:tr w:rsidR="005D4A67" w:rsidRPr="00846B0F" w14:paraId="068AFCD7" w14:textId="77777777" w:rsidTr="00FA570D">
        <w:trPr>
          <w:trHeight w:val="284"/>
        </w:trPr>
        <w:tc>
          <w:tcPr>
            <w:tcW w:w="5002" w:type="dxa"/>
          </w:tcPr>
          <w:p w14:paraId="0E5494D4" w14:textId="77777777" w:rsidR="005D4A67" w:rsidRPr="00846B0F" w:rsidRDefault="005D4A67" w:rsidP="00E44260">
            <w:pPr>
              <w:spacing w:line="276" w:lineRule="auto"/>
              <w:jc w:val="both"/>
              <w:rPr>
                <w:rFonts w:cs="Times New Roman"/>
                <w:b/>
                <w:sz w:val="24"/>
                <w:szCs w:val="24"/>
              </w:rPr>
            </w:pPr>
            <w:r w:rsidRPr="00846B0F">
              <w:rPr>
                <w:rFonts w:cs="Times New Roman"/>
                <w:b/>
                <w:sz w:val="24"/>
                <w:szCs w:val="24"/>
              </w:rPr>
              <w:t xml:space="preserve">Disbursement </w:t>
            </w:r>
          </w:p>
        </w:tc>
        <w:tc>
          <w:tcPr>
            <w:tcW w:w="2283" w:type="dxa"/>
          </w:tcPr>
          <w:p w14:paraId="5DDE42A2" w14:textId="77777777" w:rsidR="005D4A67" w:rsidRPr="00846B0F" w:rsidRDefault="005D4A67" w:rsidP="00E44260">
            <w:pPr>
              <w:spacing w:line="276" w:lineRule="auto"/>
              <w:jc w:val="both"/>
              <w:rPr>
                <w:rFonts w:cs="Times New Roman"/>
                <w:b/>
                <w:sz w:val="24"/>
                <w:szCs w:val="24"/>
              </w:rPr>
            </w:pPr>
            <w:r w:rsidRPr="00846B0F">
              <w:rPr>
                <w:rFonts w:cs="Times New Roman"/>
                <w:b/>
                <w:sz w:val="24"/>
                <w:szCs w:val="24"/>
              </w:rPr>
              <w:t>Amount NOK</w:t>
            </w:r>
          </w:p>
        </w:tc>
        <w:tc>
          <w:tcPr>
            <w:tcW w:w="2501" w:type="dxa"/>
          </w:tcPr>
          <w:p w14:paraId="32AF34D7" w14:textId="77777777" w:rsidR="005D4A67" w:rsidRPr="00846B0F" w:rsidRDefault="005D4A67" w:rsidP="00E44260">
            <w:pPr>
              <w:spacing w:line="276" w:lineRule="auto"/>
              <w:jc w:val="both"/>
              <w:rPr>
                <w:rFonts w:cs="Times New Roman"/>
                <w:b/>
                <w:sz w:val="24"/>
                <w:szCs w:val="24"/>
              </w:rPr>
            </w:pPr>
            <w:r w:rsidRPr="00846B0F">
              <w:rPr>
                <w:rFonts w:cs="Times New Roman"/>
                <w:b/>
                <w:sz w:val="24"/>
                <w:szCs w:val="24"/>
              </w:rPr>
              <w:t>Equivalent (USD)</w:t>
            </w:r>
          </w:p>
        </w:tc>
      </w:tr>
      <w:tr w:rsidR="005D4A67" w:rsidRPr="00846B0F" w14:paraId="29C8DD38" w14:textId="77777777" w:rsidTr="00FA570D">
        <w:trPr>
          <w:trHeight w:val="284"/>
        </w:trPr>
        <w:tc>
          <w:tcPr>
            <w:tcW w:w="5002" w:type="dxa"/>
          </w:tcPr>
          <w:p w14:paraId="1D128AB1" w14:textId="77777777" w:rsidR="005D4A67" w:rsidRPr="00846B0F" w:rsidRDefault="005D4A67" w:rsidP="00E44260">
            <w:pPr>
              <w:spacing w:line="276" w:lineRule="auto"/>
              <w:jc w:val="both"/>
              <w:rPr>
                <w:rFonts w:cs="Times New Roman"/>
                <w:sz w:val="24"/>
                <w:szCs w:val="24"/>
              </w:rPr>
            </w:pPr>
            <w:r w:rsidRPr="00846B0F">
              <w:rPr>
                <w:rFonts w:cs="Times New Roman"/>
                <w:sz w:val="24"/>
                <w:szCs w:val="24"/>
              </w:rPr>
              <w:t>1</w:t>
            </w:r>
            <w:r w:rsidRPr="00846B0F">
              <w:rPr>
                <w:rFonts w:cs="Times New Roman"/>
                <w:sz w:val="24"/>
                <w:szCs w:val="24"/>
                <w:vertAlign w:val="superscript"/>
              </w:rPr>
              <w:t>st</w:t>
            </w:r>
            <w:r w:rsidRPr="00846B0F">
              <w:rPr>
                <w:rFonts w:cs="Times New Roman"/>
                <w:sz w:val="24"/>
                <w:szCs w:val="24"/>
              </w:rPr>
              <w:t xml:space="preserve"> Disbursement </w:t>
            </w:r>
          </w:p>
        </w:tc>
        <w:tc>
          <w:tcPr>
            <w:tcW w:w="2283" w:type="dxa"/>
          </w:tcPr>
          <w:p w14:paraId="6B5F5FD2" w14:textId="77777777" w:rsidR="005D4A67" w:rsidRPr="00846B0F" w:rsidRDefault="005D4A67" w:rsidP="005D4A67">
            <w:pPr>
              <w:spacing w:line="276" w:lineRule="auto"/>
              <w:jc w:val="right"/>
              <w:rPr>
                <w:rFonts w:cs="Times New Roman"/>
                <w:sz w:val="24"/>
                <w:szCs w:val="24"/>
              </w:rPr>
            </w:pPr>
            <w:r w:rsidRPr="00846B0F">
              <w:rPr>
                <w:rFonts w:cs="Times New Roman"/>
                <w:sz w:val="24"/>
                <w:szCs w:val="24"/>
              </w:rPr>
              <w:t>6,500,000</w:t>
            </w:r>
          </w:p>
        </w:tc>
        <w:tc>
          <w:tcPr>
            <w:tcW w:w="2501" w:type="dxa"/>
          </w:tcPr>
          <w:p w14:paraId="44EBEBFB" w14:textId="77777777" w:rsidR="005D4A67" w:rsidRPr="00846B0F" w:rsidRDefault="005D4A67" w:rsidP="005D4A67">
            <w:pPr>
              <w:spacing w:line="276" w:lineRule="auto"/>
              <w:jc w:val="right"/>
              <w:rPr>
                <w:rFonts w:cs="Times New Roman"/>
                <w:sz w:val="24"/>
                <w:szCs w:val="24"/>
              </w:rPr>
            </w:pPr>
            <w:r w:rsidRPr="00846B0F">
              <w:rPr>
                <w:rFonts w:cs="Times New Roman"/>
                <w:sz w:val="24"/>
                <w:szCs w:val="24"/>
              </w:rPr>
              <w:t>874,019</w:t>
            </w:r>
          </w:p>
        </w:tc>
      </w:tr>
      <w:tr w:rsidR="005D4A67" w:rsidRPr="00846B0F" w14:paraId="5B783705" w14:textId="77777777" w:rsidTr="00FA570D">
        <w:trPr>
          <w:trHeight w:val="284"/>
        </w:trPr>
        <w:tc>
          <w:tcPr>
            <w:tcW w:w="5002" w:type="dxa"/>
          </w:tcPr>
          <w:p w14:paraId="19DB6970" w14:textId="77777777" w:rsidR="005D4A67" w:rsidRPr="00846B0F" w:rsidRDefault="005D4A67" w:rsidP="00E44260">
            <w:pPr>
              <w:spacing w:line="276" w:lineRule="auto"/>
              <w:jc w:val="both"/>
              <w:rPr>
                <w:rFonts w:cs="Times New Roman"/>
                <w:sz w:val="24"/>
                <w:szCs w:val="24"/>
              </w:rPr>
            </w:pPr>
            <w:r w:rsidRPr="00846B0F">
              <w:rPr>
                <w:rFonts w:cs="Times New Roman"/>
                <w:sz w:val="24"/>
                <w:szCs w:val="24"/>
              </w:rPr>
              <w:t>2</w:t>
            </w:r>
            <w:r w:rsidRPr="00846B0F">
              <w:rPr>
                <w:rFonts w:cs="Times New Roman"/>
                <w:sz w:val="24"/>
                <w:szCs w:val="24"/>
                <w:vertAlign w:val="superscript"/>
              </w:rPr>
              <w:t>nd</w:t>
            </w:r>
            <w:r w:rsidRPr="00846B0F">
              <w:rPr>
                <w:rFonts w:cs="Times New Roman"/>
                <w:sz w:val="24"/>
                <w:szCs w:val="24"/>
              </w:rPr>
              <w:t xml:space="preserve"> Disbursement </w:t>
            </w:r>
          </w:p>
        </w:tc>
        <w:tc>
          <w:tcPr>
            <w:tcW w:w="2283" w:type="dxa"/>
          </w:tcPr>
          <w:p w14:paraId="1168BB17" w14:textId="77777777" w:rsidR="005D4A67" w:rsidRPr="00846B0F" w:rsidRDefault="005D4A67" w:rsidP="005D4A67">
            <w:pPr>
              <w:spacing w:line="276" w:lineRule="auto"/>
              <w:jc w:val="right"/>
              <w:rPr>
                <w:rFonts w:cs="Times New Roman"/>
                <w:sz w:val="24"/>
                <w:szCs w:val="24"/>
              </w:rPr>
            </w:pPr>
            <w:r w:rsidRPr="00846B0F">
              <w:rPr>
                <w:rFonts w:cs="Times New Roman"/>
                <w:sz w:val="24"/>
                <w:szCs w:val="24"/>
              </w:rPr>
              <w:t>2,500,000</w:t>
            </w:r>
          </w:p>
        </w:tc>
        <w:tc>
          <w:tcPr>
            <w:tcW w:w="2501" w:type="dxa"/>
          </w:tcPr>
          <w:p w14:paraId="79DE2D2E" w14:textId="77777777" w:rsidR="005D4A67" w:rsidRPr="00846B0F" w:rsidRDefault="005D4A67" w:rsidP="005D4A67">
            <w:pPr>
              <w:spacing w:line="276" w:lineRule="auto"/>
              <w:jc w:val="right"/>
              <w:rPr>
                <w:rFonts w:cs="Times New Roman"/>
                <w:sz w:val="24"/>
                <w:szCs w:val="24"/>
              </w:rPr>
            </w:pPr>
            <w:r w:rsidRPr="00846B0F">
              <w:rPr>
                <w:rFonts w:cs="Times New Roman"/>
                <w:sz w:val="24"/>
                <w:szCs w:val="24"/>
              </w:rPr>
              <w:t>291,783</w:t>
            </w:r>
          </w:p>
        </w:tc>
      </w:tr>
      <w:tr w:rsidR="005D4A67" w:rsidRPr="00846B0F" w14:paraId="7226EAFD" w14:textId="77777777" w:rsidTr="00FA570D">
        <w:trPr>
          <w:trHeight w:val="293"/>
        </w:trPr>
        <w:tc>
          <w:tcPr>
            <w:tcW w:w="5002" w:type="dxa"/>
          </w:tcPr>
          <w:p w14:paraId="2DE397A7" w14:textId="77777777" w:rsidR="005D4A67" w:rsidRPr="00846B0F" w:rsidRDefault="005D4A67" w:rsidP="00E44260">
            <w:pPr>
              <w:spacing w:line="276" w:lineRule="auto"/>
              <w:jc w:val="both"/>
              <w:rPr>
                <w:rFonts w:cs="Times New Roman"/>
                <w:b/>
                <w:sz w:val="24"/>
                <w:szCs w:val="24"/>
              </w:rPr>
            </w:pPr>
            <w:r w:rsidRPr="00846B0F">
              <w:rPr>
                <w:rFonts w:cs="Times New Roman"/>
                <w:b/>
                <w:sz w:val="24"/>
                <w:szCs w:val="24"/>
              </w:rPr>
              <w:t xml:space="preserve">Total: </w:t>
            </w:r>
          </w:p>
        </w:tc>
        <w:tc>
          <w:tcPr>
            <w:tcW w:w="2283" w:type="dxa"/>
          </w:tcPr>
          <w:p w14:paraId="0F3DBD89" w14:textId="77777777" w:rsidR="005D4A67" w:rsidRPr="00846B0F" w:rsidRDefault="005D4A67" w:rsidP="005D4A67">
            <w:pPr>
              <w:spacing w:line="276" w:lineRule="auto"/>
              <w:jc w:val="right"/>
              <w:rPr>
                <w:rFonts w:cs="Times New Roman"/>
                <w:b/>
                <w:sz w:val="24"/>
                <w:szCs w:val="24"/>
              </w:rPr>
            </w:pPr>
            <w:r w:rsidRPr="00846B0F">
              <w:rPr>
                <w:rFonts w:cs="Times New Roman"/>
                <w:b/>
                <w:sz w:val="24"/>
                <w:szCs w:val="24"/>
              </w:rPr>
              <w:t>9,000,000</w:t>
            </w:r>
          </w:p>
        </w:tc>
        <w:tc>
          <w:tcPr>
            <w:tcW w:w="2501" w:type="dxa"/>
          </w:tcPr>
          <w:p w14:paraId="4E9CD868" w14:textId="77777777" w:rsidR="005D4A67" w:rsidRPr="00846B0F" w:rsidRDefault="008F06FC" w:rsidP="005D4A67">
            <w:pPr>
              <w:spacing w:line="276" w:lineRule="auto"/>
              <w:jc w:val="right"/>
              <w:rPr>
                <w:rFonts w:cs="Times New Roman"/>
                <w:b/>
                <w:sz w:val="24"/>
                <w:szCs w:val="24"/>
              </w:rPr>
            </w:pPr>
            <w:r w:rsidRPr="00846B0F">
              <w:rPr>
                <w:rFonts w:cs="Times New Roman"/>
                <w:b/>
                <w:sz w:val="24"/>
                <w:szCs w:val="24"/>
              </w:rPr>
              <w:t>1,165,802</w:t>
            </w:r>
          </w:p>
        </w:tc>
      </w:tr>
    </w:tbl>
    <w:p w14:paraId="5A11EA9D" w14:textId="77777777" w:rsidR="005D4A67" w:rsidRPr="00846B0F" w:rsidRDefault="005D4A67" w:rsidP="00E44260">
      <w:pPr>
        <w:spacing w:after="0" w:line="276" w:lineRule="auto"/>
        <w:jc w:val="both"/>
        <w:rPr>
          <w:rFonts w:cs="Times New Roman"/>
          <w:sz w:val="24"/>
          <w:szCs w:val="24"/>
        </w:rPr>
      </w:pPr>
    </w:p>
    <w:p w14:paraId="7C6268DD" w14:textId="77777777" w:rsidR="00136414" w:rsidRPr="00846B0F" w:rsidRDefault="00484EFB" w:rsidP="00E44260">
      <w:pPr>
        <w:spacing w:after="0" w:line="276" w:lineRule="auto"/>
        <w:jc w:val="both"/>
        <w:rPr>
          <w:rFonts w:cs="Times New Roman"/>
          <w:sz w:val="24"/>
          <w:szCs w:val="24"/>
        </w:rPr>
      </w:pPr>
      <w:r w:rsidRPr="00846B0F">
        <w:rPr>
          <w:rFonts w:cs="Times New Roman"/>
          <w:sz w:val="24"/>
          <w:szCs w:val="24"/>
        </w:rPr>
        <w:t xml:space="preserve">The following table is a summary of </w:t>
      </w:r>
      <w:r w:rsidR="00AD749E" w:rsidRPr="00846B0F">
        <w:rPr>
          <w:rFonts w:cs="Times New Roman"/>
          <w:sz w:val="24"/>
          <w:szCs w:val="24"/>
        </w:rPr>
        <w:t>expenditure as</w:t>
      </w:r>
      <w:r w:rsidRPr="00846B0F">
        <w:rPr>
          <w:rFonts w:cs="Times New Roman"/>
          <w:sz w:val="24"/>
          <w:szCs w:val="24"/>
        </w:rPr>
        <w:t xml:space="preserve"> at </w:t>
      </w:r>
      <w:r w:rsidR="00AD749E" w:rsidRPr="00846B0F">
        <w:rPr>
          <w:rFonts w:cs="Times New Roman"/>
          <w:sz w:val="24"/>
          <w:szCs w:val="24"/>
        </w:rPr>
        <w:t>2</w:t>
      </w:r>
      <w:r w:rsidR="00DE3B44" w:rsidRPr="00846B0F">
        <w:rPr>
          <w:rFonts w:cs="Times New Roman"/>
          <w:sz w:val="24"/>
          <w:szCs w:val="24"/>
        </w:rPr>
        <w:t>4</w:t>
      </w:r>
      <w:r w:rsidR="00AD749E" w:rsidRPr="00846B0F">
        <w:rPr>
          <w:rFonts w:cs="Times New Roman"/>
          <w:sz w:val="24"/>
          <w:szCs w:val="24"/>
        </w:rPr>
        <w:t xml:space="preserve"> March 2016. </w:t>
      </w:r>
      <w:r w:rsidR="00E44260" w:rsidRPr="00846B0F">
        <w:rPr>
          <w:rFonts w:cs="Times New Roman"/>
          <w:sz w:val="24"/>
          <w:szCs w:val="24"/>
        </w:rPr>
        <w:t xml:space="preserve"> These are pre</w:t>
      </w:r>
      <w:r w:rsidR="006C38EB" w:rsidRPr="00846B0F">
        <w:rPr>
          <w:rFonts w:cs="Times New Roman"/>
          <w:sz w:val="24"/>
          <w:szCs w:val="24"/>
        </w:rPr>
        <w:t>liminary figures as f</w:t>
      </w:r>
      <w:r w:rsidR="00E44260" w:rsidRPr="00846B0F">
        <w:rPr>
          <w:rFonts w:cs="Times New Roman"/>
          <w:sz w:val="24"/>
          <w:szCs w:val="24"/>
        </w:rPr>
        <w:t xml:space="preserve">inal figures will be provided through the Audited, Certified Financial Reports issued by the Comptroller’s Division at </w:t>
      </w:r>
      <w:r w:rsidR="006C38EB" w:rsidRPr="00846B0F">
        <w:rPr>
          <w:rFonts w:cs="Times New Roman"/>
          <w:sz w:val="24"/>
          <w:szCs w:val="24"/>
        </w:rPr>
        <w:t xml:space="preserve">UNDP </w:t>
      </w:r>
      <w:r w:rsidR="00E44260" w:rsidRPr="00846B0F">
        <w:rPr>
          <w:rFonts w:cs="Times New Roman"/>
          <w:sz w:val="24"/>
          <w:szCs w:val="24"/>
        </w:rPr>
        <w:t>Headquarters in New York.</w:t>
      </w:r>
    </w:p>
    <w:p w14:paraId="665DF2B3" w14:textId="77777777" w:rsidR="0000219E" w:rsidRPr="00846B0F" w:rsidRDefault="0000219E" w:rsidP="00E50AFF">
      <w:pPr>
        <w:spacing w:after="0" w:line="276" w:lineRule="auto"/>
        <w:rPr>
          <w:rFonts w:cs="Arial"/>
          <w:sz w:val="24"/>
          <w:szCs w:val="24"/>
        </w:rPr>
      </w:pPr>
    </w:p>
    <w:p w14:paraId="3D34A627" w14:textId="77777777" w:rsidR="00E50AFF" w:rsidRPr="0000219E" w:rsidRDefault="00E50AFF" w:rsidP="00E50AFF">
      <w:pPr>
        <w:spacing w:after="0" w:line="276" w:lineRule="auto"/>
        <w:rPr>
          <w:rFonts w:cs="Arial"/>
          <w:sz w:val="24"/>
          <w:szCs w:val="24"/>
        </w:rPr>
      </w:pPr>
      <w:r w:rsidRPr="0000219E">
        <w:rPr>
          <w:rFonts w:cs="Arial"/>
          <w:sz w:val="24"/>
          <w:szCs w:val="24"/>
        </w:rPr>
        <w:t xml:space="preserve">Table 1:  Financial Receipts and Expenditure as at </w:t>
      </w:r>
      <w:r w:rsidR="005247DF" w:rsidRPr="0000219E">
        <w:rPr>
          <w:rFonts w:cs="Arial"/>
          <w:sz w:val="24"/>
          <w:szCs w:val="24"/>
        </w:rPr>
        <w:t>24</w:t>
      </w:r>
      <w:r w:rsidRPr="0000219E">
        <w:rPr>
          <w:rFonts w:cs="Arial"/>
          <w:sz w:val="24"/>
          <w:szCs w:val="24"/>
        </w:rPr>
        <w:t xml:space="preserve"> </w:t>
      </w:r>
      <w:r w:rsidR="005247DF" w:rsidRPr="0000219E">
        <w:rPr>
          <w:rFonts w:cs="Arial"/>
          <w:sz w:val="24"/>
          <w:szCs w:val="24"/>
        </w:rPr>
        <w:t>March</w:t>
      </w:r>
      <w:r w:rsidRPr="0000219E">
        <w:rPr>
          <w:rFonts w:cs="Arial"/>
          <w:sz w:val="24"/>
          <w:szCs w:val="24"/>
        </w:rPr>
        <w:t xml:space="preserve"> 201</w:t>
      </w:r>
      <w:r w:rsidR="007269EE" w:rsidRPr="0000219E">
        <w:rPr>
          <w:rFonts w:cs="Arial"/>
          <w:sz w:val="24"/>
          <w:szCs w:val="24"/>
        </w:rPr>
        <w:t>6</w:t>
      </w:r>
    </w:p>
    <w:tbl>
      <w:tblPr>
        <w:tblStyle w:val="TableGrid"/>
        <w:tblW w:w="9504" w:type="dxa"/>
        <w:tblInd w:w="-113" w:type="dxa"/>
        <w:tblLook w:val="04A0" w:firstRow="1" w:lastRow="0" w:firstColumn="1" w:lastColumn="0" w:noHBand="0" w:noVBand="1"/>
      </w:tblPr>
      <w:tblGrid>
        <w:gridCol w:w="7340"/>
        <w:gridCol w:w="2164"/>
      </w:tblGrid>
      <w:tr w:rsidR="00E50AFF" w:rsidRPr="00846B0F" w14:paraId="7FDB874C" w14:textId="77777777" w:rsidTr="003C729B">
        <w:trPr>
          <w:trHeight w:val="241"/>
        </w:trPr>
        <w:tc>
          <w:tcPr>
            <w:tcW w:w="7340" w:type="dxa"/>
            <w:shd w:val="clear" w:color="auto" w:fill="A6A6A6" w:themeFill="background1" w:themeFillShade="A6"/>
          </w:tcPr>
          <w:p w14:paraId="27D6F9F1" w14:textId="77777777" w:rsidR="00E50AFF" w:rsidRPr="00846B0F" w:rsidRDefault="00E50AFF" w:rsidP="003C729B">
            <w:pPr>
              <w:spacing w:line="276" w:lineRule="auto"/>
              <w:jc w:val="both"/>
              <w:rPr>
                <w:rFonts w:cs="Arial"/>
                <w:b/>
                <w:sz w:val="24"/>
                <w:szCs w:val="24"/>
              </w:rPr>
            </w:pPr>
            <w:r w:rsidRPr="00846B0F">
              <w:rPr>
                <w:rFonts w:cs="Arial"/>
                <w:b/>
                <w:sz w:val="24"/>
                <w:szCs w:val="24"/>
              </w:rPr>
              <w:t xml:space="preserve">Item </w:t>
            </w:r>
          </w:p>
        </w:tc>
        <w:tc>
          <w:tcPr>
            <w:tcW w:w="2164" w:type="dxa"/>
            <w:shd w:val="clear" w:color="auto" w:fill="A6A6A6" w:themeFill="background1" w:themeFillShade="A6"/>
          </w:tcPr>
          <w:p w14:paraId="7D3F48DF" w14:textId="77777777" w:rsidR="00E50AFF" w:rsidRPr="00846B0F" w:rsidRDefault="00E50AFF" w:rsidP="003C729B">
            <w:pPr>
              <w:spacing w:line="276" w:lineRule="auto"/>
              <w:jc w:val="both"/>
              <w:rPr>
                <w:rFonts w:cs="Arial"/>
                <w:b/>
                <w:sz w:val="24"/>
                <w:szCs w:val="24"/>
              </w:rPr>
            </w:pPr>
            <w:r w:rsidRPr="00846B0F">
              <w:rPr>
                <w:rFonts w:cs="Arial"/>
                <w:b/>
                <w:sz w:val="24"/>
                <w:szCs w:val="24"/>
              </w:rPr>
              <w:t>Amount(USD)</w:t>
            </w:r>
          </w:p>
        </w:tc>
      </w:tr>
      <w:tr w:rsidR="00E50AFF" w:rsidRPr="00846B0F" w14:paraId="3E6C234E" w14:textId="77777777" w:rsidTr="003C729B">
        <w:trPr>
          <w:trHeight w:val="241"/>
        </w:trPr>
        <w:tc>
          <w:tcPr>
            <w:tcW w:w="7340" w:type="dxa"/>
          </w:tcPr>
          <w:p w14:paraId="23E26B38" w14:textId="77777777" w:rsidR="00E50AFF" w:rsidRPr="00846B0F" w:rsidRDefault="00E50AFF" w:rsidP="00AD749E">
            <w:pPr>
              <w:spacing w:line="276" w:lineRule="auto"/>
              <w:jc w:val="both"/>
              <w:rPr>
                <w:rFonts w:cs="Arial"/>
                <w:sz w:val="24"/>
                <w:szCs w:val="24"/>
              </w:rPr>
            </w:pPr>
            <w:r w:rsidRPr="00846B0F">
              <w:rPr>
                <w:rFonts w:cs="Arial"/>
                <w:sz w:val="24"/>
                <w:szCs w:val="24"/>
              </w:rPr>
              <w:t>Contribution Revenue as at December 201</w:t>
            </w:r>
            <w:r w:rsidR="00AD749E" w:rsidRPr="00846B0F">
              <w:rPr>
                <w:rFonts w:cs="Arial"/>
                <w:sz w:val="24"/>
                <w:szCs w:val="24"/>
              </w:rPr>
              <w:t>5</w:t>
            </w:r>
          </w:p>
        </w:tc>
        <w:tc>
          <w:tcPr>
            <w:tcW w:w="2164" w:type="dxa"/>
          </w:tcPr>
          <w:p w14:paraId="4037F984" w14:textId="77777777" w:rsidR="00E50AFF" w:rsidRPr="00846B0F" w:rsidRDefault="00AD749E" w:rsidP="003C729B">
            <w:pPr>
              <w:spacing w:line="276" w:lineRule="auto"/>
              <w:jc w:val="right"/>
              <w:rPr>
                <w:rFonts w:cs="Arial"/>
                <w:sz w:val="24"/>
                <w:szCs w:val="24"/>
              </w:rPr>
            </w:pPr>
            <w:r w:rsidRPr="00846B0F">
              <w:rPr>
                <w:rFonts w:cs="Times New Roman"/>
                <w:b/>
                <w:sz w:val="24"/>
                <w:szCs w:val="24"/>
              </w:rPr>
              <w:t>1,165,802.00</w:t>
            </w:r>
          </w:p>
        </w:tc>
      </w:tr>
      <w:tr w:rsidR="00E50AFF" w:rsidRPr="00846B0F" w14:paraId="7431976D" w14:textId="77777777" w:rsidTr="003C729B">
        <w:trPr>
          <w:trHeight w:val="275"/>
        </w:trPr>
        <w:tc>
          <w:tcPr>
            <w:tcW w:w="7340" w:type="dxa"/>
          </w:tcPr>
          <w:p w14:paraId="559345D2" w14:textId="77777777" w:rsidR="00E50AFF" w:rsidRPr="00846B0F" w:rsidRDefault="00E50AFF" w:rsidP="007269EE">
            <w:pPr>
              <w:spacing w:line="276" w:lineRule="auto"/>
              <w:jc w:val="both"/>
              <w:rPr>
                <w:rFonts w:cs="Arial"/>
                <w:sz w:val="24"/>
                <w:szCs w:val="24"/>
              </w:rPr>
            </w:pPr>
            <w:r w:rsidRPr="00846B0F">
              <w:rPr>
                <w:rFonts w:cs="Arial"/>
                <w:sz w:val="24"/>
                <w:szCs w:val="24"/>
              </w:rPr>
              <w:t xml:space="preserve">Expenditure as at </w:t>
            </w:r>
            <w:r w:rsidR="00AD749E" w:rsidRPr="00846B0F">
              <w:rPr>
                <w:rFonts w:cs="Arial"/>
                <w:sz w:val="24"/>
                <w:szCs w:val="24"/>
              </w:rPr>
              <w:t>2</w:t>
            </w:r>
            <w:r w:rsidR="007269EE" w:rsidRPr="00846B0F">
              <w:rPr>
                <w:rFonts w:cs="Arial"/>
                <w:sz w:val="24"/>
                <w:szCs w:val="24"/>
              </w:rPr>
              <w:t>4</w:t>
            </w:r>
            <w:r w:rsidRPr="00846B0F">
              <w:rPr>
                <w:rFonts w:cs="Arial"/>
                <w:sz w:val="24"/>
                <w:szCs w:val="24"/>
              </w:rPr>
              <w:t xml:space="preserve"> </w:t>
            </w:r>
            <w:r w:rsidR="00AD749E" w:rsidRPr="00846B0F">
              <w:rPr>
                <w:rFonts w:cs="Arial"/>
                <w:sz w:val="24"/>
                <w:szCs w:val="24"/>
              </w:rPr>
              <w:t xml:space="preserve">March </w:t>
            </w:r>
            <w:r w:rsidRPr="00846B0F">
              <w:rPr>
                <w:rFonts w:cs="Arial"/>
                <w:sz w:val="24"/>
                <w:szCs w:val="24"/>
              </w:rPr>
              <w:t>201</w:t>
            </w:r>
            <w:r w:rsidR="00AD749E" w:rsidRPr="00846B0F">
              <w:rPr>
                <w:rFonts w:cs="Arial"/>
                <w:sz w:val="24"/>
                <w:szCs w:val="24"/>
              </w:rPr>
              <w:t>6</w:t>
            </w:r>
          </w:p>
        </w:tc>
        <w:tc>
          <w:tcPr>
            <w:tcW w:w="2164" w:type="dxa"/>
          </w:tcPr>
          <w:p w14:paraId="0DEA6501" w14:textId="77777777" w:rsidR="00E50AFF" w:rsidRPr="00846B0F" w:rsidRDefault="00F5345C" w:rsidP="003C729B">
            <w:pPr>
              <w:spacing w:line="276" w:lineRule="auto"/>
              <w:jc w:val="right"/>
              <w:rPr>
                <w:rFonts w:cs="Arial"/>
                <w:sz w:val="24"/>
                <w:szCs w:val="24"/>
              </w:rPr>
            </w:pPr>
            <w:r w:rsidRPr="00846B0F">
              <w:rPr>
                <w:rFonts w:cs="Arial"/>
                <w:sz w:val="24"/>
                <w:szCs w:val="24"/>
              </w:rPr>
              <w:t>935,266.87</w:t>
            </w:r>
          </w:p>
        </w:tc>
      </w:tr>
      <w:tr w:rsidR="00E50AFF" w:rsidRPr="00846B0F" w14:paraId="7CEC4B9A" w14:textId="77777777" w:rsidTr="003C729B">
        <w:trPr>
          <w:trHeight w:val="329"/>
        </w:trPr>
        <w:tc>
          <w:tcPr>
            <w:tcW w:w="7340" w:type="dxa"/>
          </w:tcPr>
          <w:p w14:paraId="2D8B160D" w14:textId="77777777" w:rsidR="00E50AFF" w:rsidRPr="00846B0F" w:rsidRDefault="00E50AFF" w:rsidP="003C729B">
            <w:pPr>
              <w:spacing w:line="276" w:lineRule="auto"/>
              <w:jc w:val="both"/>
              <w:rPr>
                <w:rFonts w:cs="Arial"/>
                <w:sz w:val="24"/>
                <w:szCs w:val="24"/>
              </w:rPr>
            </w:pPr>
            <w:r w:rsidRPr="00846B0F">
              <w:rPr>
                <w:rFonts w:cs="Arial"/>
                <w:sz w:val="24"/>
                <w:szCs w:val="24"/>
              </w:rPr>
              <w:t>Commitments</w:t>
            </w:r>
            <w:r w:rsidRPr="00846B0F">
              <w:rPr>
                <w:rFonts w:cs="Arial"/>
                <w:sz w:val="24"/>
                <w:szCs w:val="24"/>
                <w:vertAlign w:val="superscript"/>
              </w:rPr>
              <w:footnoteReference w:id="3"/>
            </w:r>
            <w:r w:rsidRPr="00846B0F">
              <w:rPr>
                <w:rFonts w:cs="Arial"/>
                <w:sz w:val="24"/>
                <w:szCs w:val="24"/>
              </w:rPr>
              <w:t xml:space="preserve"> </w:t>
            </w:r>
          </w:p>
        </w:tc>
        <w:tc>
          <w:tcPr>
            <w:tcW w:w="2164" w:type="dxa"/>
          </w:tcPr>
          <w:p w14:paraId="4BD9C877" w14:textId="77777777" w:rsidR="00E50AFF" w:rsidRPr="00846B0F" w:rsidRDefault="00F5345C" w:rsidP="00095FEC">
            <w:pPr>
              <w:spacing w:line="276" w:lineRule="auto"/>
              <w:jc w:val="right"/>
              <w:rPr>
                <w:rFonts w:cs="Arial"/>
                <w:sz w:val="24"/>
                <w:szCs w:val="24"/>
              </w:rPr>
            </w:pPr>
            <w:r w:rsidRPr="00846B0F">
              <w:rPr>
                <w:rFonts w:cs="Arial"/>
                <w:sz w:val="24"/>
                <w:szCs w:val="24"/>
              </w:rPr>
              <w:t>169,270.</w:t>
            </w:r>
            <w:r w:rsidR="00095FEC" w:rsidRPr="00846B0F">
              <w:rPr>
                <w:rFonts w:cs="Arial"/>
                <w:sz w:val="24"/>
                <w:szCs w:val="24"/>
              </w:rPr>
              <w:t>1</w:t>
            </w:r>
            <w:r w:rsidRPr="00846B0F">
              <w:rPr>
                <w:rFonts w:cs="Arial"/>
                <w:sz w:val="24"/>
                <w:szCs w:val="24"/>
              </w:rPr>
              <w:t>0</w:t>
            </w:r>
          </w:p>
        </w:tc>
      </w:tr>
      <w:tr w:rsidR="00E50AFF" w:rsidRPr="00846B0F" w14:paraId="0E0DEFCD" w14:textId="77777777" w:rsidTr="003C729B">
        <w:trPr>
          <w:trHeight w:val="329"/>
        </w:trPr>
        <w:tc>
          <w:tcPr>
            <w:tcW w:w="7340" w:type="dxa"/>
          </w:tcPr>
          <w:p w14:paraId="101D5300" w14:textId="77777777" w:rsidR="00E50AFF" w:rsidRPr="00846B0F" w:rsidRDefault="00E50AFF" w:rsidP="003C729B">
            <w:pPr>
              <w:spacing w:line="276" w:lineRule="auto"/>
              <w:jc w:val="both"/>
              <w:rPr>
                <w:rFonts w:cs="Arial"/>
                <w:sz w:val="24"/>
                <w:szCs w:val="24"/>
              </w:rPr>
            </w:pPr>
            <w:r w:rsidRPr="00846B0F">
              <w:rPr>
                <w:rFonts w:cs="Arial"/>
                <w:sz w:val="24"/>
                <w:szCs w:val="24"/>
              </w:rPr>
              <w:t>Total Expenditure (Expenditure + Commitments)</w:t>
            </w:r>
          </w:p>
        </w:tc>
        <w:tc>
          <w:tcPr>
            <w:tcW w:w="2164" w:type="dxa"/>
          </w:tcPr>
          <w:p w14:paraId="5005EACF" w14:textId="77777777" w:rsidR="00E50AFF" w:rsidRPr="00846B0F" w:rsidRDefault="00E50AFF" w:rsidP="003C729B">
            <w:pPr>
              <w:tabs>
                <w:tab w:val="center" w:pos="921"/>
                <w:tab w:val="right" w:pos="1842"/>
              </w:tabs>
              <w:spacing w:line="276" w:lineRule="auto"/>
              <w:jc w:val="right"/>
              <w:rPr>
                <w:rFonts w:cs="Arial"/>
                <w:b/>
                <w:sz w:val="24"/>
                <w:szCs w:val="24"/>
              </w:rPr>
            </w:pPr>
            <w:r w:rsidRPr="00846B0F">
              <w:rPr>
                <w:rFonts w:cs="Arial"/>
                <w:b/>
                <w:sz w:val="24"/>
                <w:szCs w:val="24"/>
              </w:rPr>
              <w:tab/>
            </w:r>
            <w:r w:rsidR="00095FEC" w:rsidRPr="00846B0F">
              <w:rPr>
                <w:rFonts w:cs="Arial"/>
                <w:b/>
                <w:sz w:val="24"/>
                <w:szCs w:val="24"/>
              </w:rPr>
              <w:t>1,104,496.97</w:t>
            </w:r>
          </w:p>
        </w:tc>
      </w:tr>
      <w:tr w:rsidR="00E50AFF" w:rsidRPr="00846B0F" w14:paraId="713A28BD" w14:textId="77777777" w:rsidTr="003C729B">
        <w:trPr>
          <w:trHeight w:val="241"/>
        </w:trPr>
        <w:tc>
          <w:tcPr>
            <w:tcW w:w="7340" w:type="dxa"/>
          </w:tcPr>
          <w:p w14:paraId="47B554D4" w14:textId="77777777" w:rsidR="00E50AFF" w:rsidRPr="00846B0F" w:rsidRDefault="00E50AFF" w:rsidP="003C729B">
            <w:pPr>
              <w:spacing w:line="276" w:lineRule="auto"/>
              <w:jc w:val="both"/>
              <w:rPr>
                <w:rFonts w:cs="Arial"/>
                <w:sz w:val="24"/>
                <w:szCs w:val="24"/>
              </w:rPr>
            </w:pPr>
            <w:r w:rsidRPr="00846B0F">
              <w:rPr>
                <w:rFonts w:cs="Arial"/>
                <w:sz w:val="24"/>
                <w:szCs w:val="24"/>
              </w:rPr>
              <w:t>Delivery Rate</w:t>
            </w:r>
          </w:p>
        </w:tc>
        <w:tc>
          <w:tcPr>
            <w:tcW w:w="2164" w:type="dxa"/>
          </w:tcPr>
          <w:p w14:paraId="12841C30" w14:textId="77777777" w:rsidR="00E50AFF" w:rsidRPr="00846B0F" w:rsidRDefault="00F5345C" w:rsidP="003C729B">
            <w:pPr>
              <w:spacing w:line="276" w:lineRule="auto"/>
              <w:jc w:val="right"/>
              <w:rPr>
                <w:rFonts w:cs="Arial"/>
                <w:sz w:val="24"/>
                <w:szCs w:val="24"/>
              </w:rPr>
            </w:pPr>
            <w:r w:rsidRPr="00846B0F">
              <w:rPr>
                <w:rFonts w:cs="Arial"/>
                <w:sz w:val="24"/>
                <w:szCs w:val="24"/>
              </w:rPr>
              <w:t>95</w:t>
            </w:r>
            <w:r w:rsidR="00E50AFF" w:rsidRPr="00846B0F">
              <w:rPr>
                <w:rFonts w:cs="Arial"/>
                <w:sz w:val="24"/>
                <w:szCs w:val="24"/>
              </w:rPr>
              <w:t>%</w:t>
            </w:r>
          </w:p>
        </w:tc>
      </w:tr>
      <w:tr w:rsidR="00E50AFF" w:rsidRPr="00846B0F" w14:paraId="6B3000A6" w14:textId="77777777" w:rsidTr="003C729B">
        <w:trPr>
          <w:trHeight w:val="241"/>
        </w:trPr>
        <w:tc>
          <w:tcPr>
            <w:tcW w:w="7340" w:type="dxa"/>
          </w:tcPr>
          <w:p w14:paraId="5F39C98D" w14:textId="77777777" w:rsidR="00E50AFF" w:rsidRPr="00846B0F" w:rsidRDefault="00E50AFF" w:rsidP="003C729B">
            <w:pPr>
              <w:spacing w:line="276" w:lineRule="auto"/>
              <w:jc w:val="both"/>
              <w:rPr>
                <w:rFonts w:cs="Arial"/>
                <w:b/>
                <w:sz w:val="24"/>
                <w:szCs w:val="24"/>
              </w:rPr>
            </w:pPr>
            <w:r w:rsidRPr="00846B0F">
              <w:rPr>
                <w:rFonts w:cs="Arial"/>
                <w:b/>
                <w:sz w:val="24"/>
                <w:szCs w:val="24"/>
              </w:rPr>
              <w:t>Resource Balance</w:t>
            </w:r>
          </w:p>
        </w:tc>
        <w:tc>
          <w:tcPr>
            <w:tcW w:w="2164" w:type="dxa"/>
          </w:tcPr>
          <w:p w14:paraId="46F61FD5" w14:textId="77777777" w:rsidR="00E50AFF" w:rsidRPr="00846B0F" w:rsidRDefault="00095FEC" w:rsidP="003C729B">
            <w:pPr>
              <w:spacing w:line="276" w:lineRule="auto"/>
              <w:jc w:val="right"/>
              <w:rPr>
                <w:rFonts w:cs="Arial"/>
                <w:b/>
                <w:sz w:val="24"/>
                <w:szCs w:val="24"/>
              </w:rPr>
            </w:pPr>
            <w:r w:rsidRPr="00846B0F">
              <w:rPr>
                <w:rFonts w:cs="Arial"/>
                <w:b/>
                <w:sz w:val="24"/>
                <w:szCs w:val="24"/>
              </w:rPr>
              <w:t>61,305.03</w:t>
            </w:r>
          </w:p>
        </w:tc>
      </w:tr>
    </w:tbl>
    <w:p w14:paraId="2B95CB14" w14:textId="77777777" w:rsidR="00E50AFF" w:rsidRPr="00846B0F" w:rsidRDefault="00E50AFF" w:rsidP="00E50AFF">
      <w:pPr>
        <w:spacing w:after="0" w:line="276" w:lineRule="auto"/>
        <w:rPr>
          <w:rFonts w:cs="Arial"/>
          <w:sz w:val="24"/>
          <w:szCs w:val="24"/>
        </w:rPr>
      </w:pPr>
    </w:p>
    <w:p w14:paraId="2C9C91F6" w14:textId="77777777" w:rsidR="00E50AFF" w:rsidRPr="00846B0F" w:rsidRDefault="00E50AFF" w:rsidP="00E50AFF">
      <w:pPr>
        <w:spacing w:after="0" w:line="276" w:lineRule="auto"/>
        <w:rPr>
          <w:rFonts w:cs="Arial"/>
          <w:sz w:val="24"/>
          <w:szCs w:val="24"/>
        </w:rPr>
      </w:pPr>
      <w:r w:rsidRPr="00846B0F">
        <w:rPr>
          <w:rFonts w:cs="Arial"/>
          <w:sz w:val="24"/>
          <w:szCs w:val="24"/>
        </w:rPr>
        <w:t xml:space="preserve">Table 2: Committed Funds </w:t>
      </w:r>
    </w:p>
    <w:tbl>
      <w:tblPr>
        <w:tblStyle w:val="TableGrid"/>
        <w:tblW w:w="9648" w:type="dxa"/>
        <w:tblInd w:w="-113" w:type="dxa"/>
        <w:tblLook w:val="04A0" w:firstRow="1" w:lastRow="0" w:firstColumn="1" w:lastColumn="0" w:noHBand="0" w:noVBand="1"/>
      </w:tblPr>
      <w:tblGrid>
        <w:gridCol w:w="7398"/>
        <w:gridCol w:w="2250"/>
      </w:tblGrid>
      <w:tr w:rsidR="00E50AFF" w:rsidRPr="00846B0F" w14:paraId="1FE09B81" w14:textId="77777777" w:rsidTr="00B4476B">
        <w:trPr>
          <w:trHeight w:val="376"/>
        </w:trPr>
        <w:tc>
          <w:tcPr>
            <w:tcW w:w="7398" w:type="dxa"/>
          </w:tcPr>
          <w:p w14:paraId="0D986017" w14:textId="77777777" w:rsidR="00E50AFF" w:rsidRPr="00846B0F" w:rsidRDefault="00E50AFF" w:rsidP="003C729B">
            <w:pPr>
              <w:spacing w:line="276" w:lineRule="auto"/>
              <w:rPr>
                <w:rFonts w:cs="Arial"/>
                <w:sz w:val="24"/>
                <w:szCs w:val="24"/>
              </w:rPr>
            </w:pPr>
            <w:r w:rsidRPr="00846B0F">
              <w:rPr>
                <w:rFonts w:cs="Arial"/>
                <w:b/>
                <w:sz w:val="24"/>
                <w:szCs w:val="24"/>
              </w:rPr>
              <w:t>Commitments</w:t>
            </w:r>
          </w:p>
        </w:tc>
        <w:tc>
          <w:tcPr>
            <w:tcW w:w="2250" w:type="dxa"/>
          </w:tcPr>
          <w:p w14:paraId="29AAFE0A" w14:textId="77777777" w:rsidR="00E50AFF" w:rsidRPr="00846B0F" w:rsidRDefault="00E50AFF" w:rsidP="003C729B">
            <w:pPr>
              <w:spacing w:line="276" w:lineRule="auto"/>
              <w:jc w:val="right"/>
              <w:rPr>
                <w:rFonts w:cs="Arial"/>
                <w:sz w:val="24"/>
                <w:szCs w:val="24"/>
              </w:rPr>
            </w:pPr>
            <w:r w:rsidRPr="00846B0F">
              <w:rPr>
                <w:rFonts w:cs="Arial"/>
                <w:b/>
                <w:sz w:val="24"/>
                <w:szCs w:val="24"/>
              </w:rPr>
              <w:t>USD</w:t>
            </w:r>
          </w:p>
        </w:tc>
      </w:tr>
      <w:tr w:rsidR="00095FEC" w:rsidRPr="00846B0F" w14:paraId="60154637" w14:textId="77777777" w:rsidTr="00B4476B">
        <w:trPr>
          <w:trHeight w:val="291"/>
        </w:trPr>
        <w:tc>
          <w:tcPr>
            <w:tcW w:w="7398" w:type="dxa"/>
          </w:tcPr>
          <w:p w14:paraId="06BA5D7D" w14:textId="77777777" w:rsidR="00095FEC" w:rsidRPr="00846B0F" w:rsidRDefault="00095FEC" w:rsidP="00706853">
            <w:pPr>
              <w:spacing w:line="276" w:lineRule="auto"/>
              <w:rPr>
                <w:rFonts w:cs="Arial"/>
                <w:sz w:val="24"/>
                <w:szCs w:val="24"/>
              </w:rPr>
            </w:pPr>
            <w:r w:rsidRPr="00846B0F">
              <w:rPr>
                <w:rFonts w:cs="Arial"/>
                <w:sz w:val="24"/>
                <w:szCs w:val="24"/>
              </w:rPr>
              <w:t>DRR: El</w:t>
            </w:r>
            <w:r w:rsidR="00A960BD">
              <w:rPr>
                <w:rFonts w:cs="Arial"/>
                <w:sz w:val="24"/>
                <w:szCs w:val="24"/>
              </w:rPr>
              <w:t xml:space="preserve"> </w:t>
            </w:r>
            <w:r w:rsidR="00706853">
              <w:rPr>
                <w:rFonts w:cs="Arial"/>
                <w:sz w:val="24"/>
                <w:szCs w:val="24"/>
              </w:rPr>
              <w:t>N</w:t>
            </w:r>
            <w:r w:rsidRPr="00846B0F">
              <w:rPr>
                <w:rFonts w:cs="Arial"/>
                <w:sz w:val="24"/>
                <w:szCs w:val="24"/>
              </w:rPr>
              <w:t>ino Preparedness Training</w:t>
            </w:r>
          </w:p>
        </w:tc>
        <w:tc>
          <w:tcPr>
            <w:tcW w:w="2250" w:type="dxa"/>
          </w:tcPr>
          <w:p w14:paraId="36A12BAC" w14:textId="77777777" w:rsidR="00095FEC" w:rsidRPr="00846B0F" w:rsidRDefault="00095FEC" w:rsidP="00095FEC">
            <w:pPr>
              <w:spacing w:line="276" w:lineRule="auto"/>
              <w:jc w:val="right"/>
              <w:rPr>
                <w:rFonts w:cs="Arial"/>
                <w:sz w:val="24"/>
                <w:szCs w:val="24"/>
              </w:rPr>
            </w:pPr>
            <w:r w:rsidRPr="00846B0F">
              <w:rPr>
                <w:sz w:val="24"/>
                <w:szCs w:val="24"/>
              </w:rPr>
              <w:t>13,0054.5</w:t>
            </w:r>
            <w:r w:rsidR="00706853">
              <w:rPr>
                <w:sz w:val="24"/>
                <w:szCs w:val="24"/>
              </w:rPr>
              <w:t>0</w:t>
            </w:r>
          </w:p>
        </w:tc>
      </w:tr>
      <w:tr w:rsidR="00095FEC" w:rsidRPr="00846B0F" w14:paraId="14E622E1" w14:textId="77777777" w:rsidTr="00B4476B">
        <w:trPr>
          <w:trHeight w:val="291"/>
        </w:trPr>
        <w:tc>
          <w:tcPr>
            <w:tcW w:w="7398" w:type="dxa"/>
          </w:tcPr>
          <w:p w14:paraId="2B3398EE" w14:textId="77777777" w:rsidR="00095FEC" w:rsidRPr="00846B0F" w:rsidRDefault="00095FEC" w:rsidP="00095FEC">
            <w:pPr>
              <w:spacing w:line="276" w:lineRule="auto"/>
              <w:rPr>
                <w:rFonts w:cs="Arial"/>
                <w:sz w:val="24"/>
                <w:szCs w:val="24"/>
              </w:rPr>
            </w:pPr>
            <w:r w:rsidRPr="00846B0F">
              <w:rPr>
                <w:rFonts w:cs="Arial"/>
                <w:sz w:val="24"/>
                <w:szCs w:val="24"/>
              </w:rPr>
              <w:t xml:space="preserve">DRR: National Disaster Operations Centre </w:t>
            </w:r>
          </w:p>
        </w:tc>
        <w:tc>
          <w:tcPr>
            <w:tcW w:w="2250" w:type="dxa"/>
          </w:tcPr>
          <w:p w14:paraId="757E99FB" w14:textId="77777777" w:rsidR="00095FEC" w:rsidRPr="00846B0F" w:rsidRDefault="00095FEC" w:rsidP="00095FEC">
            <w:pPr>
              <w:spacing w:line="276" w:lineRule="auto"/>
              <w:jc w:val="right"/>
              <w:rPr>
                <w:rFonts w:cs="Arial"/>
                <w:sz w:val="24"/>
                <w:szCs w:val="24"/>
              </w:rPr>
            </w:pPr>
            <w:r w:rsidRPr="00846B0F">
              <w:rPr>
                <w:sz w:val="24"/>
                <w:szCs w:val="24"/>
              </w:rPr>
              <w:t>19,607.8</w:t>
            </w:r>
            <w:r w:rsidR="00706853">
              <w:rPr>
                <w:sz w:val="24"/>
                <w:szCs w:val="24"/>
              </w:rPr>
              <w:t>0</w:t>
            </w:r>
          </w:p>
        </w:tc>
      </w:tr>
      <w:tr w:rsidR="00095FEC" w:rsidRPr="00846B0F" w14:paraId="16EDB590" w14:textId="77777777" w:rsidTr="00B4476B">
        <w:trPr>
          <w:trHeight w:val="291"/>
        </w:trPr>
        <w:tc>
          <w:tcPr>
            <w:tcW w:w="7398" w:type="dxa"/>
          </w:tcPr>
          <w:p w14:paraId="5BD4CC68" w14:textId="77777777" w:rsidR="00095FEC" w:rsidRPr="00846B0F" w:rsidRDefault="00095FEC" w:rsidP="00095FEC">
            <w:pPr>
              <w:spacing w:line="276" w:lineRule="auto"/>
              <w:rPr>
                <w:rFonts w:cs="Arial"/>
                <w:sz w:val="24"/>
                <w:szCs w:val="24"/>
              </w:rPr>
            </w:pPr>
            <w:proofErr w:type="spellStart"/>
            <w:r w:rsidRPr="00846B0F">
              <w:rPr>
                <w:rFonts w:cs="Arial"/>
                <w:sz w:val="24"/>
                <w:szCs w:val="24"/>
              </w:rPr>
              <w:t>CoG</w:t>
            </w:r>
            <w:proofErr w:type="spellEnd"/>
            <w:r w:rsidRPr="00846B0F">
              <w:rPr>
                <w:rFonts w:cs="Arial"/>
                <w:sz w:val="24"/>
                <w:szCs w:val="24"/>
              </w:rPr>
              <w:t xml:space="preserve"> Legal drafters  </w:t>
            </w:r>
          </w:p>
        </w:tc>
        <w:tc>
          <w:tcPr>
            <w:tcW w:w="2250" w:type="dxa"/>
          </w:tcPr>
          <w:p w14:paraId="0DB2943E" w14:textId="77777777" w:rsidR="00095FEC" w:rsidRPr="00846B0F" w:rsidRDefault="00095FEC" w:rsidP="00095FEC">
            <w:pPr>
              <w:spacing w:line="276" w:lineRule="auto"/>
              <w:jc w:val="right"/>
              <w:rPr>
                <w:rFonts w:cs="Arial"/>
                <w:sz w:val="24"/>
                <w:szCs w:val="24"/>
              </w:rPr>
            </w:pPr>
            <w:r w:rsidRPr="00846B0F">
              <w:rPr>
                <w:sz w:val="24"/>
                <w:szCs w:val="24"/>
              </w:rPr>
              <w:t>19,607.8</w:t>
            </w:r>
            <w:r w:rsidR="00706853">
              <w:rPr>
                <w:sz w:val="24"/>
                <w:szCs w:val="24"/>
              </w:rPr>
              <w:t>0</w:t>
            </w:r>
          </w:p>
        </w:tc>
      </w:tr>
      <w:tr w:rsidR="00E50AFF" w:rsidRPr="00846B0F" w14:paraId="4AE603F1" w14:textId="77777777" w:rsidTr="00B4476B">
        <w:trPr>
          <w:trHeight w:val="276"/>
        </w:trPr>
        <w:tc>
          <w:tcPr>
            <w:tcW w:w="7398" w:type="dxa"/>
          </w:tcPr>
          <w:p w14:paraId="385B2124" w14:textId="77777777" w:rsidR="00E50AFF" w:rsidRPr="00846B0F" w:rsidRDefault="00E50AFF" w:rsidP="003C729B">
            <w:pPr>
              <w:spacing w:line="276" w:lineRule="auto"/>
              <w:rPr>
                <w:rFonts w:cs="Arial"/>
                <w:sz w:val="24"/>
                <w:szCs w:val="24"/>
              </w:rPr>
            </w:pPr>
            <w:r w:rsidRPr="00846B0F">
              <w:rPr>
                <w:rFonts w:cs="Arial"/>
                <w:b/>
                <w:sz w:val="24"/>
                <w:szCs w:val="24"/>
              </w:rPr>
              <w:t>Total:</w:t>
            </w:r>
          </w:p>
        </w:tc>
        <w:tc>
          <w:tcPr>
            <w:tcW w:w="2250" w:type="dxa"/>
          </w:tcPr>
          <w:p w14:paraId="1B133507" w14:textId="77777777" w:rsidR="00E50AFF" w:rsidRPr="00846B0F" w:rsidRDefault="00095FEC" w:rsidP="003C729B">
            <w:pPr>
              <w:spacing w:line="276" w:lineRule="auto"/>
              <w:jc w:val="right"/>
              <w:rPr>
                <w:rFonts w:cs="Arial"/>
                <w:b/>
                <w:sz w:val="24"/>
                <w:szCs w:val="24"/>
              </w:rPr>
            </w:pPr>
            <w:r w:rsidRPr="00846B0F">
              <w:rPr>
                <w:rFonts w:cs="Arial"/>
                <w:b/>
                <w:sz w:val="24"/>
                <w:szCs w:val="24"/>
              </w:rPr>
              <w:t>169, 270.1</w:t>
            </w:r>
            <w:r w:rsidR="00706853">
              <w:rPr>
                <w:rFonts w:cs="Arial"/>
                <w:b/>
                <w:sz w:val="24"/>
                <w:szCs w:val="24"/>
              </w:rPr>
              <w:t>0</w:t>
            </w:r>
          </w:p>
        </w:tc>
      </w:tr>
    </w:tbl>
    <w:p w14:paraId="75320971" w14:textId="77777777" w:rsidR="00E50AFF" w:rsidRDefault="00E50AFF" w:rsidP="00E50AFF">
      <w:pPr>
        <w:spacing w:after="0" w:line="276" w:lineRule="auto"/>
        <w:rPr>
          <w:rFonts w:cs="Arial"/>
          <w:sz w:val="24"/>
          <w:szCs w:val="24"/>
        </w:rPr>
      </w:pPr>
    </w:p>
    <w:p w14:paraId="1BA12C8A" w14:textId="77777777" w:rsidR="00E50AFF" w:rsidRPr="00846B0F" w:rsidRDefault="00E50AFF" w:rsidP="00E50AFF">
      <w:pPr>
        <w:spacing w:after="0" w:line="276" w:lineRule="auto"/>
        <w:rPr>
          <w:rFonts w:cs="Arial"/>
          <w:sz w:val="24"/>
          <w:szCs w:val="24"/>
        </w:rPr>
      </w:pPr>
      <w:r w:rsidRPr="00846B0F">
        <w:rPr>
          <w:rFonts w:cs="Arial"/>
          <w:sz w:val="24"/>
          <w:szCs w:val="24"/>
        </w:rPr>
        <w:t xml:space="preserve">Table 3: Interim financial report for Norway funding as at </w:t>
      </w:r>
      <w:r w:rsidR="00095FEC" w:rsidRPr="00846B0F">
        <w:rPr>
          <w:rFonts w:cs="Arial"/>
          <w:sz w:val="24"/>
          <w:szCs w:val="24"/>
        </w:rPr>
        <w:t>24 March 2016</w:t>
      </w:r>
    </w:p>
    <w:tbl>
      <w:tblPr>
        <w:tblStyle w:val="TableGrid"/>
        <w:tblW w:w="5000" w:type="pct"/>
        <w:tblInd w:w="-113" w:type="dxa"/>
        <w:tblLayout w:type="fixed"/>
        <w:tblLook w:val="04A0" w:firstRow="1" w:lastRow="0" w:firstColumn="1" w:lastColumn="0" w:noHBand="0" w:noVBand="1"/>
      </w:tblPr>
      <w:tblGrid>
        <w:gridCol w:w="2048"/>
        <w:gridCol w:w="4000"/>
        <w:gridCol w:w="1979"/>
        <w:gridCol w:w="1710"/>
      </w:tblGrid>
      <w:tr w:rsidR="00461BB7" w:rsidRPr="00073BCE" w14:paraId="380505B0" w14:textId="77777777" w:rsidTr="00461BB7">
        <w:trPr>
          <w:trHeight w:val="303"/>
          <w:tblHeader/>
        </w:trPr>
        <w:tc>
          <w:tcPr>
            <w:tcW w:w="1052" w:type="pct"/>
            <w:shd w:val="clear" w:color="auto" w:fill="BDD6EE" w:themeFill="accent1" w:themeFillTint="66"/>
          </w:tcPr>
          <w:p w14:paraId="1136609C" w14:textId="77777777" w:rsidR="00461BB7" w:rsidRPr="00073BCE" w:rsidRDefault="00461BB7" w:rsidP="003C729B">
            <w:pPr>
              <w:spacing w:line="276" w:lineRule="auto"/>
              <w:rPr>
                <w:rFonts w:cs="Arial"/>
                <w:b/>
                <w:color w:val="000000" w:themeColor="text1"/>
              </w:rPr>
            </w:pPr>
            <w:r w:rsidRPr="00073BCE">
              <w:rPr>
                <w:rFonts w:cs="Arial"/>
                <w:b/>
                <w:color w:val="000000" w:themeColor="text1"/>
              </w:rPr>
              <w:lastRenderedPageBreak/>
              <w:t xml:space="preserve">Output </w:t>
            </w:r>
          </w:p>
        </w:tc>
        <w:tc>
          <w:tcPr>
            <w:tcW w:w="2054" w:type="pct"/>
            <w:shd w:val="clear" w:color="auto" w:fill="BDD6EE" w:themeFill="accent1" w:themeFillTint="66"/>
          </w:tcPr>
          <w:p w14:paraId="6E24F62B" w14:textId="77777777" w:rsidR="00461BB7" w:rsidRPr="00073BCE" w:rsidRDefault="00461BB7" w:rsidP="003C729B">
            <w:pPr>
              <w:spacing w:line="276" w:lineRule="auto"/>
              <w:rPr>
                <w:rFonts w:cs="Arial"/>
                <w:b/>
                <w:color w:val="000000" w:themeColor="text1"/>
              </w:rPr>
            </w:pPr>
            <w:r w:rsidRPr="00073BCE">
              <w:rPr>
                <w:rFonts w:cs="Arial"/>
                <w:b/>
                <w:color w:val="000000" w:themeColor="text1"/>
              </w:rPr>
              <w:t xml:space="preserve">Activity </w:t>
            </w:r>
          </w:p>
        </w:tc>
        <w:tc>
          <w:tcPr>
            <w:tcW w:w="1016" w:type="pct"/>
            <w:shd w:val="clear" w:color="auto" w:fill="BDD6EE" w:themeFill="accent1" w:themeFillTint="66"/>
          </w:tcPr>
          <w:p w14:paraId="1B04C3FD" w14:textId="77777777" w:rsidR="00461BB7" w:rsidRPr="00073BCE" w:rsidRDefault="00461BB7" w:rsidP="003C729B">
            <w:pPr>
              <w:spacing w:line="276" w:lineRule="auto"/>
              <w:rPr>
                <w:rFonts w:cs="Arial"/>
                <w:b/>
                <w:color w:val="000000" w:themeColor="text1"/>
              </w:rPr>
            </w:pPr>
            <w:r w:rsidRPr="00073BCE">
              <w:rPr>
                <w:rFonts w:cs="Arial"/>
                <w:b/>
                <w:color w:val="000000" w:themeColor="text1"/>
              </w:rPr>
              <w:t xml:space="preserve">Actual Budget based on the received funding </w:t>
            </w:r>
          </w:p>
        </w:tc>
        <w:tc>
          <w:tcPr>
            <w:tcW w:w="878" w:type="pct"/>
            <w:shd w:val="clear" w:color="auto" w:fill="BDD6EE" w:themeFill="accent1" w:themeFillTint="66"/>
          </w:tcPr>
          <w:p w14:paraId="20DF77D6" w14:textId="77777777" w:rsidR="00461BB7" w:rsidRPr="00073BCE" w:rsidRDefault="00461BB7" w:rsidP="003C729B">
            <w:pPr>
              <w:spacing w:line="276" w:lineRule="auto"/>
              <w:rPr>
                <w:rFonts w:cs="Arial"/>
                <w:b/>
                <w:color w:val="000000" w:themeColor="text1"/>
              </w:rPr>
            </w:pPr>
            <w:r w:rsidRPr="00073BCE">
              <w:rPr>
                <w:rFonts w:cs="Arial"/>
                <w:b/>
                <w:color w:val="000000" w:themeColor="text1"/>
              </w:rPr>
              <w:t xml:space="preserve">Expenditure </w:t>
            </w:r>
          </w:p>
        </w:tc>
      </w:tr>
      <w:tr w:rsidR="00461BB7" w:rsidRPr="00073BCE" w14:paraId="0A8058FE" w14:textId="77777777" w:rsidTr="00461BB7">
        <w:trPr>
          <w:trHeight w:val="2652"/>
        </w:trPr>
        <w:tc>
          <w:tcPr>
            <w:tcW w:w="1052" w:type="pct"/>
          </w:tcPr>
          <w:p w14:paraId="33B80C93" w14:textId="77777777" w:rsidR="00461BB7" w:rsidRPr="00073BCE" w:rsidRDefault="00461BB7" w:rsidP="003C729B">
            <w:pPr>
              <w:spacing w:line="276" w:lineRule="auto"/>
              <w:rPr>
                <w:rFonts w:cs="Arial"/>
                <w:color w:val="000000" w:themeColor="text1"/>
              </w:rPr>
            </w:pPr>
            <w:r w:rsidRPr="00073BCE">
              <w:rPr>
                <w:rFonts w:cs="Arial"/>
                <w:color w:val="000000" w:themeColor="text1"/>
              </w:rPr>
              <w:t>Policies, laws and institutional reforms for effective implementation of Constitution at national and county levels are adopted</w:t>
            </w:r>
          </w:p>
        </w:tc>
        <w:tc>
          <w:tcPr>
            <w:tcW w:w="2054" w:type="pct"/>
          </w:tcPr>
          <w:p w14:paraId="36C742DD" w14:textId="77777777" w:rsidR="00461BB7" w:rsidRPr="00073BCE" w:rsidRDefault="00461BB7" w:rsidP="003C729B">
            <w:pPr>
              <w:spacing w:line="276" w:lineRule="auto"/>
              <w:rPr>
                <w:rFonts w:cs="Arial"/>
                <w:color w:val="000000" w:themeColor="text1"/>
              </w:rPr>
            </w:pPr>
            <w:r w:rsidRPr="00073BCE">
              <w:rPr>
                <w:rFonts w:cs="Arial"/>
                <w:color w:val="000000" w:themeColor="text1"/>
              </w:rPr>
              <w:t>Support key institutions, legislative drafting, evidence-based policy making, County Development Plans and various thematic works including Disaster Risk Management</w:t>
            </w:r>
          </w:p>
        </w:tc>
        <w:tc>
          <w:tcPr>
            <w:tcW w:w="1016" w:type="pct"/>
          </w:tcPr>
          <w:p w14:paraId="155CDB80" w14:textId="77777777" w:rsidR="00461BB7" w:rsidRPr="00073BCE" w:rsidRDefault="00461BB7" w:rsidP="005F1035">
            <w:pPr>
              <w:jc w:val="right"/>
              <w:rPr>
                <w:color w:val="000000"/>
              </w:rPr>
            </w:pPr>
            <w:r w:rsidRPr="00073BCE">
              <w:rPr>
                <w:color w:val="000000"/>
              </w:rPr>
              <w:t>349,740.60</w:t>
            </w:r>
          </w:p>
          <w:p w14:paraId="265D6E5B" w14:textId="77777777" w:rsidR="00461BB7" w:rsidRPr="00073BCE" w:rsidRDefault="00461BB7" w:rsidP="003C729B">
            <w:pPr>
              <w:jc w:val="right"/>
              <w:rPr>
                <w:rFonts w:cs="Arial"/>
                <w:color w:val="000000" w:themeColor="text1"/>
              </w:rPr>
            </w:pPr>
          </w:p>
        </w:tc>
        <w:tc>
          <w:tcPr>
            <w:tcW w:w="878" w:type="pct"/>
          </w:tcPr>
          <w:p w14:paraId="695F5D04" w14:textId="77777777" w:rsidR="00461BB7" w:rsidRPr="00073BCE" w:rsidRDefault="00461BB7" w:rsidP="003C729B">
            <w:pPr>
              <w:jc w:val="right"/>
            </w:pPr>
            <w:r w:rsidRPr="00073BCE">
              <w:rPr>
                <w:rFonts w:cs="Arial"/>
              </w:rPr>
              <w:t>331,349.09</w:t>
            </w:r>
          </w:p>
        </w:tc>
      </w:tr>
      <w:tr w:rsidR="00461BB7" w:rsidRPr="00073BCE" w14:paraId="3E06D9FA" w14:textId="77777777" w:rsidTr="00461BB7">
        <w:trPr>
          <w:trHeight w:val="1330"/>
        </w:trPr>
        <w:tc>
          <w:tcPr>
            <w:tcW w:w="1052" w:type="pct"/>
          </w:tcPr>
          <w:p w14:paraId="78E2C962" w14:textId="77777777" w:rsidR="00461BB7" w:rsidRPr="00073BCE" w:rsidRDefault="00461BB7" w:rsidP="003C729B">
            <w:pPr>
              <w:spacing w:line="276" w:lineRule="auto"/>
              <w:rPr>
                <w:rFonts w:cs="Arial"/>
                <w:color w:val="000000" w:themeColor="text1"/>
              </w:rPr>
            </w:pPr>
            <w:r w:rsidRPr="00073BCE">
              <w:rPr>
                <w:rFonts w:cs="Arial"/>
                <w:color w:val="000000" w:themeColor="text1"/>
              </w:rPr>
              <w:t>Strengthened institutional and human capacities at national and county level</w:t>
            </w:r>
          </w:p>
        </w:tc>
        <w:tc>
          <w:tcPr>
            <w:tcW w:w="2054" w:type="pct"/>
          </w:tcPr>
          <w:p w14:paraId="2F54AEE3" w14:textId="77777777" w:rsidR="00461BB7" w:rsidRPr="00073BCE" w:rsidRDefault="00461BB7" w:rsidP="003C729B">
            <w:pPr>
              <w:spacing w:line="276" w:lineRule="auto"/>
              <w:rPr>
                <w:rFonts w:cs="Arial"/>
                <w:color w:val="000000" w:themeColor="text1"/>
              </w:rPr>
            </w:pPr>
            <w:r w:rsidRPr="00073BCE">
              <w:rPr>
                <w:rFonts w:cs="Arial"/>
                <w:color w:val="000000" w:themeColor="text1"/>
              </w:rPr>
              <w:t>Support National Capacity Building Framework (NCBF), PMS and institutional strengthening</w:t>
            </w:r>
          </w:p>
        </w:tc>
        <w:tc>
          <w:tcPr>
            <w:tcW w:w="1016" w:type="pct"/>
          </w:tcPr>
          <w:p w14:paraId="5EC5FEB9" w14:textId="77777777" w:rsidR="00461BB7" w:rsidRPr="00073BCE" w:rsidRDefault="00461BB7" w:rsidP="005F1035">
            <w:pPr>
              <w:jc w:val="right"/>
              <w:rPr>
                <w:color w:val="000000"/>
              </w:rPr>
            </w:pPr>
            <w:r w:rsidRPr="00073BCE">
              <w:rPr>
                <w:color w:val="000000"/>
              </w:rPr>
              <w:t>466,320.80</w:t>
            </w:r>
          </w:p>
          <w:p w14:paraId="6CC9EB40" w14:textId="77777777" w:rsidR="00461BB7" w:rsidRPr="00073BCE" w:rsidRDefault="00461BB7" w:rsidP="003C729B">
            <w:pPr>
              <w:spacing w:line="276" w:lineRule="auto"/>
              <w:jc w:val="right"/>
              <w:rPr>
                <w:rFonts w:cs="Arial"/>
                <w:color w:val="000000" w:themeColor="text1"/>
              </w:rPr>
            </w:pPr>
          </w:p>
        </w:tc>
        <w:tc>
          <w:tcPr>
            <w:tcW w:w="878" w:type="pct"/>
          </w:tcPr>
          <w:p w14:paraId="1952F39C" w14:textId="77777777" w:rsidR="00461BB7" w:rsidRPr="00073BCE" w:rsidRDefault="00461BB7" w:rsidP="003C729B">
            <w:pPr>
              <w:spacing w:line="276" w:lineRule="auto"/>
              <w:jc w:val="right"/>
              <w:rPr>
                <w:rFonts w:cs="Arial"/>
              </w:rPr>
            </w:pPr>
            <w:r w:rsidRPr="00073BCE">
              <w:rPr>
                <w:rFonts w:cs="Arial"/>
              </w:rPr>
              <w:t>441,798.79</w:t>
            </w:r>
          </w:p>
          <w:p w14:paraId="1E5856CE" w14:textId="77777777" w:rsidR="00461BB7" w:rsidRPr="00073BCE" w:rsidRDefault="00461BB7" w:rsidP="003C729B">
            <w:pPr>
              <w:spacing w:line="276" w:lineRule="auto"/>
              <w:jc w:val="right"/>
              <w:rPr>
                <w:rFonts w:cs="Arial"/>
              </w:rPr>
            </w:pPr>
          </w:p>
        </w:tc>
      </w:tr>
      <w:tr w:rsidR="00461BB7" w:rsidRPr="00073BCE" w14:paraId="42C333FC" w14:textId="77777777" w:rsidTr="00461BB7">
        <w:trPr>
          <w:trHeight w:val="1219"/>
        </w:trPr>
        <w:tc>
          <w:tcPr>
            <w:tcW w:w="1052" w:type="pct"/>
          </w:tcPr>
          <w:p w14:paraId="27E52E0E" w14:textId="77777777" w:rsidR="00461BB7" w:rsidRPr="00073BCE" w:rsidRDefault="00461BB7" w:rsidP="003C729B">
            <w:pPr>
              <w:spacing w:line="276" w:lineRule="auto"/>
              <w:rPr>
                <w:rFonts w:cs="Arial"/>
                <w:color w:val="000000" w:themeColor="text1"/>
              </w:rPr>
            </w:pPr>
            <w:r w:rsidRPr="00073BCE">
              <w:rPr>
                <w:rFonts w:cs="Arial"/>
                <w:color w:val="000000" w:themeColor="text1"/>
              </w:rPr>
              <w:t>Evidenced planning, budgeting for improved service delivery at county level in tandem with reduced security threats and improved response to risk and disaster in selected counties</w:t>
            </w:r>
          </w:p>
        </w:tc>
        <w:tc>
          <w:tcPr>
            <w:tcW w:w="2054" w:type="pct"/>
          </w:tcPr>
          <w:p w14:paraId="1E248796" w14:textId="77777777" w:rsidR="00461BB7" w:rsidRPr="00073BCE" w:rsidRDefault="00461BB7" w:rsidP="003C729B">
            <w:pPr>
              <w:spacing w:line="276" w:lineRule="auto"/>
              <w:rPr>
                <w:rFonts w:cs="Arial"/>
                <w:color w:val="000000" w:themeColor="text1"/>
              </w:rPr>
            </w:pPr>
            <w:r w:rsidRPr="00073BCE">
              <w:rPr>
                <w:rFonts w:cs="Arial"/>
                <w:color w:val="000000" w:themeColor="text1"/>
              </w:rPr>
              <w:t xml:space="preserve">Inclusive service delivery plans, budgeting process per Public Finance Management (PFM) law, County Enterprise Development </w:t>
            </w:r>
            <w:proofErr w:type="spellStart"/>
            <w:r w:rsidRPr="00073BCE">
              <w:rPr>
                <w:rFonts w:cs="Arial"/>
                <w:color w:val="000000" w:themeColor="text1"/>
              </w:rPr>
              <w:t>Centres</w:t>
            </w:r>
            <w:proofErr w:type="spellEnd"/>
            <w:r w:rsidRPr="00073BCE">
              <w:rPr>
                <w:rFonts w:cs="Arial"/>
                <w:color w:val="000000" w:themeColor="text1"/>
              </w:rPr>
              <w:t>, Public-Private collaboration, M&amp;E with national support organs</w:t>
            </w:r>
          </w:p>
        </w:tc>
        <w:tc>
          <w:tcPr>
            <w:tcW w:w="1016" w:type="pct"/>
          </w:tcPr>
          <w:p w14:paraId="7A723751" w14:textId="77777777" w:rsidR="00461BB7" w:rsidRPr="00073BCE" w:rsidRDefault="00461BB7" w:rsidP="005F1035">
            <w:pPr>
              <w:jc w:val="right"/>
              <w:rPr>
                <w:color w:val="000000"/>
              </w:rPr>
            </w:pPr>
            <w:r w:rsidRPr="00073BCE">
              <w:rPr>
                <w:color w:val="000000"/>
              </w:rPr>
              <w:t>256,476.44</w:t>
            </w:r>
          </w:p>
          <w:p w14:paraId="0AC1169D" w14:textId="77777777" w:rsidR="00461BB7" w:rsidRPr="00073BCE" w:rsidRDefault="00461BB7" w:rsidP="003C729B">
            <w:pPr>
              <w:jc w:val="right"/>
              <w:rPr>
                <w:rFonts w:cs="Arial"/>
                <w:color w:val="000000" w:themeColor="text1"/>
              </w:rPr>
            </w:pPr>
          </w:p>
        </w:tc>
        <w:tc>
          <w:tcPr>
            <w:tcW w:w="878" w:type="pct"/>
          </w:tcPr>
          <w:p w14:paraId="2C8D4600" w14:textId="77777777" w:rsidR="00461BB7" w:rsidRPr="00073BCE" w:rsidRDefault="00461BB7" w:rsidP="00080593">
            <w:pPr>
              <w:jc w:val="right"/>
              <w:rPr>
                <w:rFonts w:cs="Arial"/>
              </w:rPr>
            </w:pPr>
            <w:r w:rsidRPr="00073BCE">
              <w:rPr>
                <w:rFonts w:cs="Arial"/>
              </w:rPr>
              <w:t>242,989.</w:t>
            </w:r>
            <w:r w:rsidR="00080593" w:rsidRPr="00073BCE">
              <w:rPr>
                <w:rFonts w:cs="Arial"/>
              </w:rPr>
              <w:t>33</w:t>
            </w:r>
          </w:p>
        </w:tc>
      </w:tr>
      <w:tr w:rsidR="00461BB7" w:rsidRPr="00073BCE" w14:paraId="3E666A6C" w14:textId="77777777" w:rsidTr="00461BB7">
        <w:trPr>
          <w:trHeight w:val="1031"/>
        </w:trPr>
        <w:tc>
          <w:tcPr>
            <w:tcW w:w="1052" w:type="pct"/>
          </w:tcPr>
          <w:p w14:paraId="55AE170C" w14:textId="77777777" w:rsidR="00461BB7" w:rsidRPr="00073BCE" w:rsidRDefault="00461BB7" w:rsidP="003C729B">
            <w:pPr>
              <w:spacing w:line="276" w:lineRule="auto"/>
              <w:rPr>
                <w:rFonts w:cs="Arial"/>
                <w:color w:val="000000" w:themeColor="text1"/>
              </w:rPr>
            </w:pPr>
            <w:r w:rsidRPr="00073BCE">
              <w:rPr>
                <w:rFonts w:cs="Arial"/>
                <w:color w:val="000000" w:themeColor="text1"/>
              </w:rPr>
              <w:t>Improved Programme Management Support to the devolution programme</w:t>
            </w:r>
          </w:p>
        </w:tc>
        <w:tc>
          <w:tcPr>
            <w:tcW w:w="2054" w:type="pct"/>
          </w:tcPr>
          <w:p w14:paraId="12B712A9" w14:textId="77777777" w:rsidR="00461BB7" w:rsidRPr="00073BCE" w:rsidRDefault="00461BB7" w:rsidP="003C729B">
            <w:pPr>
              <w:spacing w:line="276" w:lineRule="auto"/>
              <w:rPr>
                <w:rFonts w:cs="Arial"/>
                <w:color w:val="000000" w:themeColor="text1"/>
              </w:rPr>
            </w:pPr>
            <w:r w:rsidRPr="00073BCE">
              <w:rPr>
                <w:rFonts w:cs="Arial"/>
                <w:color w:val="000000" w:themeColor="text1"/>
              </w:rPr>
              <w:t xml:space="preserve">Staffing, Annual/Evaluation, Programme Audit, Management costs </w:t>
            </w:r>
          </w:p>
        </w:tc>
        <w:tc>
          <w:tcPr>
            <w:tcW w:w="1016" w:type="pct"/>
          </w:tcPr>
          <w:p w14:paraId="14539512" w14:textId="77777777" w:rsidR="00461BB7" w:rsidRPr="00073BCE" w:rsidRDefault="00461BB7" w:rsidP="005F1035">
            <w:pPr>
              <w:jc w:val="right"/>
              <w:rPr>
                <w:color w:val="000000"/>
              </w:rPr>
            </w:pPr>
            <w:r w:rsidRPr="00073BCE">
              <w:rPr>
                <w:color w:val="000000"/>
              </w:rPr>
              <w:t>93,264.16</w:t>
            </w:r>
          </w:p>
          <w:p w14:paraId="658A8570" w14:textId="77777777" w:rsidR="00461BB7" w:rsidRPr="00073BCE" w:rsidRDefault="00461BB7" w:rsidP="003C729B">
            <w:pPr>
              <w:spacing w:line="276" w:lineRule="auto"/>
              <w:jc w:val="right"/>
              <w:rPr>
                <w:rFonts w:cs="Arial"/>
                <w:color w:val="000000" w:themeColor="text1"/>
              </w:rPr>
            </w:pPr>
          </w:p>
        </w:tc>
        <w:tc>
          <w:tcPr>
            <w:tcW w:w="878" w:type="pct"/>
          </w:tcPr>
          <w:p w14:paraId="0E2E18D8" w14:textId="77777777" w:rsidR="00461BB7" w:rsidRPr="00073BCE" w:rsidRDefault="00461BB7" w:rsidP="003C729B">
            <w:pPr>
              <w:spacing w:line="276" w:lineRule="auto"/>
              <w:jc w:val="right"/>
              <w:rPr>
                <w:rFonts w:cs="Arial"/>
              </w:rPr>
            </w:pPr>
            <w:r w:rsidRPr="00073BCE">
              <w:rPr>
                <w:rFonts w:cs="Arial"/>
              </w:rPr>
              <w:t>88,359.76</w:t>
            </w:r>
          </w:p>
          <w:p w14:paraId="197BD350" w14:textId="77777777" w:rsidR="00461BB7" w:rsidRPr="00073BCE" w:rsidRDefault="00461BB7" w:rsidP="003C729B">
            <w:pPr>
              <w:spacing w:line="276" w:lineRule="auto"/>
              <w:jc w:val="right"/>
              <w:rPr>
                <w:rFonts w:cs="Arial"/>
              </w:rPr>
            </w:pPr>
          </w:p>
        </w:tc>
      </w:tr>
      <w:tr w:rsidR="00461BB7" w:rsidRPr="00073BCE" w14:paraId="07237DF3" w14:textId="77777777" w:rsidTr="00461BB7">
        <w:trPr>
          <w:trHeight w:val="303"/>
        </w:trPr>
        <w:tc>
          <w:tcPr>
            <w:tcW w:w="1052" w:type="pct"/>
          </w:tcPr>
          <w:p w14:paraId="7A0D7A36" w14:textId="77777777" w:rsidR="00461BB7" w:rsidRPr="00073BCE" w:rsidRDefault="00461BB7" w:rsidP="003C729B">
            <w:pPr>
              <w:spacing w:line="276" w:lineRule="auto"/>
              <w:rPr>
                <w:rFonts w:cs="Arial"/>
                <w:b/>
                <w:color w:val="000000" w:themeColor="text1"/>
              </w:rPr>
            </w:pPr>
          </w:p>
        </w:tc>
        <w:tc>
          <w:tcPr>
            <w:tcW w:w="2054" w:type="pct"/>
          </w:tcPr>
          <w:p w14:paraId="721666AB" w14:textId="77777777" w:rsidR="00461BB7" w:rsidRPr="00073BCE" w:rsidRDefault="00461BB7" w:rsidP="003C729B">
            <w:pPr>
              <w:spacing w:line="276" w:lineRule="auto"/>
              <w:rPr>
                <w:rFonts w:cs="Arial"/>
                <w:b/>
                <w:color w:val="000000" w:themeColor="text1"/>
              </w:rPr>
            </w:pPr>
          </w:p>
        </w:tc>
        <w:tc>
          <w:tcPr>
            <w:tcW w:w="1016" w:type="pct"/>
          </w:tcPr>
          <w:p w14:paraId="606DB477" w14:textId="77777777" w:rsidR="00461BB7" w:rsidRPr="00073BCE" w:rsidRDefault="00461BB7" w:rsidP="005F1035">
            <w:pPr>
              <w:jc w:val="right"/>
              <w:rPr>
                <w:b/>
                <w:color w:val="000000"/>
              </w:rPr>
            </w:pPr>
            <w:r w:rsidRPr="00073BCE">
              <w:rPr>
                <w:b/>
                <w:color w:val="000000"/>
              </w:rPr>
              <w:t>1,165,802.00</w:t>
            </w:r>
          </w:p>
        </w:tc>
        <w:tc>
          <w:tcPr>
            <w:tcW w:w="878" w:type="pct"/>
            <w:vAlign w:val="bottom"/>
          </w:tcPr>
          <w:p w14:paraId="6BB12D4B" w14:textId="77777777" w:rsidR="00461BB7" w:rsidRPr="00073BCE" w:rsidRDefault="00461BB7" w:rsidP="00461BB7">
            <w:pPr>
              <w:jc w:val="right"/>
              <w:rPr>
                <w:rFonts w:ascii="Calibri" w:hAnsi="Calibri"/>
                <w:b/>
                <w:bCs/>
                <w:color w:val="000000"/>
              </w:rPr>
            </w:pPr>
            <w:r w:rsidRPr="00073BCE">
              <w:rPr>
                <w:b/>
                <w:color w:val="000000"/>
              </w:rPr>
              <w:t>1,104,496.97</w:t>
            </w:r>
          </w:p>
        </w:tc>
      </w:tr>
    </w:tbl>
    <w:p w14:paraId="77A395BC" w14:textId="77777777" w:rsidR="00E50AFF" w:rsidRPr="00846B0F" w:rsidRDefault="00E50AFF" w:rsidP="00363730">
      <w:pPr>
        <w:spacing w:after="0" w:line="276" w:lineRule="auto"/>
        <w:rPr>
          <w:rFonts w:cs="Times New Roman"/>
          <w:sz w:val="24"/>
          <w:szCs w:val="24"/>
        </w:rPr>
      </w:pPr>
    </w:p>
    <w:p w14:paraId="59B451EB" w14:textId="77777777" w:rsidR="004465B7" w:rsidRPr="008C3A64" w:rsidRDefault="004465B7" w:rsidP="008C3A64">
      <w:pPr>
        <w:pStyle w:val="Norway2"/>
        <w:spacing w:line="276" w:lineRule="auto"/>
        <w:ind w:hanging="720"/>
        <w:rPr>
          <w:rFonts w:cs="Times New Roman"/>
        </w:rPr>
      </w:pPr>
      <w:bookmarkStart w:id="13" w:name="_Toc447029782"/>
      <w:r w:rsidRPr="008C3A64">
        <w:rPr>
          <w:rFonts w:cs="Times New Roman"/>
        </w:rPr>
        <w:t>Challenges</w:t>
      </w:r>
      <w:r w:rsidR="00444264" w:rsidRPr="008C3A64">
        <w:rPr>
          <w:rFonts w:cs="Times New Roman"/>
        </w:rPr>
        <w:t xml:space="preserve"> and Lessons </w:t>
      </w:r>
      <w:r w:rsidRPr="008C3A64">
        <w:rPr>
          <w:rFonts w:cs="Times New Roman"/>
        </w:rPr>
        <w:t>Learned</w:t>
      </w:r>
      <w:bookmarkEnd w:id="13"/>
      <w:r w:rsidRPr="008C3A64">
        <w:rPr>
          <w:rFonts w:cs="Times New Roman"/>
        </w:rPr>
        <w:t xml:space="preserve"> </w:t>
      </w:r>
    </w:p>
    <w:p w14:paraId="75B791B0" w14:textId="77777777" w:rsidR="004465B7" w:rsidRPr="00846B0F" w:rsidRDefault="004465B7" w:rsidP="00A5210E">
      <w:pPr>
        <w:spacing w:after="0" w:line="276" w:lineRule="auto"/>
        <w:jc w:val="both"/>
        <w:rPr>
          <w:rFonts w:cs="Times New Roman"/>
          <w:sz w:val="24"/>
          <w:szCs w:val="24"/>
        </w:rPr>
      </w:pPr>
    </w:p>
    <w:p w14:paraId="1E5D0DAB" w14:textId="77777777" w:rsidR="00CE29E7" w:rsidRPr="0000219E" w:rsidRDefault="0000219E" w:rsidP="001E1BA1">
      <w:pPr>
        <w:pStyle w:val="NoSpacing"/>
        <w:spacing w:line="276" w:lineRule="auto"/>
        <w:jc w:val="both"/>
        <w:rPr>
          <w:rFonts w:cs="Times New Roman"/>
          <w:b/>
          <w:color w:val="00B0F0"/>
          <w:sz w:val="24"/>
          <w:szCs w:val="24"/>
        </w:rPr>
      </w:pPr>
      <w:r>
        <w:rPr>
          <w:rFonts w:cs="Times New Roman"/>
          <w:b/>
          <w:color w:val="00B0F0"/>
          <w:sz w:val="24"/>
          <w:szCs w:val="24"/>
        </w:rPr>
        <w:t>Challenges</w:t>
      </w:r>
    </w:p>
    <w:p w14:paraId="72E20EFE" w14:textId="77777777" w:rsidR="00A5193D" w:rsidRDefault="00A5193D" w:rsidP="00EA2F51">
      <w:pPr>
        <w:spacing w:after="0" w:line="276" w:lineRule="auto"/>
        <w:jc w:val="both"/>
        <w:rPr>
          <w:rFonts w:cs="Times New Roman"/>
          <w:sz w:val="24"/>
          <w:szCs w:val="24"/>
        </w:rPr>
      </w:pPr>
    </w:p>
    <w:p w14:paraId="6566171D" w14:textId="77777777" w:rsidR="00CE29E7" w:rsidRPr="00846B0F" w:rsidRDefault="00CE29E7" w:rsidP="00EA2F51">
      <w:pPr>
        <w:spacing w:after="0" w:line="276" w:lineRule="auto"/>
        <w:jc w:val="both"/>
        <w:rPr>
          <w:rFonts w:cs="Times New Roman"/>
          <w:sz w:val="24"/>
          <w:szCs w:val="24"/>
        </w:rPr>
      </w:pPr>
      <w:r w:rsidRPr="00846B0F">
        <w:rPr>
          <w:rFonts w:cs="Times New Roman"/>
          <w:sz w:val="24"/>
          <w:szCs w:val="24"/>
        </w:rPr>
        <w:t>The implementation of these activities has been faced with a number of challenges ranging from policy, institutional and tran</w:t>
      </w:r>
      <w:r w:rsidR="00EA2F51">
        <w:rPr>
          <w:rFonts w:cs="Times New Roman"/>
          <w:sz w:val="24"/>
          <w:szCs w:val="24"/>
        </w:rPr>
        <w:t>sitional factors. They include:</w:t>
      </w:r>
    </w:p>
    <w:p w14:paraId="1891A2A8" w14:textId="77777777" w:rsidR="00CE29E7" w:rsidRPr="00846B0F" w:rsidRDefault="00461BB7" w:rsidP="0075650A">
      <w:pPr>
        <w:pStyle w:val="ListParagraph"/>
        <w:numPr>
          <w:ilvl w:val="0"/>
          <w:numId w:val="4"/>
        </w:numPr>
        <w:spacing w:after="0" w:line="276" w:lineRule="auto"/>
        <w:jc w:val="both"/>
        <w:rPr>
          <w:rFonts w:cs="Times New Roman"/>
          <w:sz w:val="24"/>
          <w:szCs w:val="24"/>
        </w:rPr>
      </w:pPr>
      <w:r>
        <w:rPr>
          <w:rFonts w:cs="Times New Roman"/>
          <w:sz w:val="24"/>
          <w:szCs w:val="24"/>
        </w:rPr>
        <w:t>The approval of the 2016 project annual work plan has taken longer than had been anticipated due to agreement on scope of the project, and resource gaps  given the huge demands from many implementing partners</w:t>
      </w:r>
    </w:p>
    <w:p w14:paraId="2619C8D2" w14:textId="77777777" w:rsidR="00CE29E7" w:rsidRPr="00846B0F" w:rsidRDefault="00CE29E7" w:rsidP="0075650A">
      <w:pPr>
        <w:pStyle w:val="ListParagraph"/>
        <w:numPr>
          <w:ilvl w:val="0"/>
          <w:numId w:val="4"/>
        </w:numPr>
        <w:spacing w:after="0" w:line="276" w:lineRule="auto"/>
        <w:jc w:val="both"/>
        <w:rPr>
          <w:rFonts w:cs="Times New Roman"/>
          <w:sz w:val="24"/>
          <w:szCs w:val="24"/>
        </w:rPr>
      </w:pPr>
      <w:r w:rsidRPr="00846B0F">
        <w:rPr>
          <w:rFonts w:cs="Times New Roman"/>
          <w:sz w:val="24"/>
          <w:szCs w:val="24"/>
        </w:rPr>
        <w:t xml:space="preserve">Inadequate budgetary allocation </w:t>
      </w:r>
      <w:r w:rsidR="00587A30" w:rsidRPr="00846B0F">
        <w:rPr>
          <w:rFonts w:cs="Times New Roman"/>
          <w:sz w:val="24"/>
          <w:szCs w:val="24"/>
        </w:rPr>
        <w:t>of</w:t>
      </w:r>
      <w:r w:rsidRPr="00846B0F">
        <w:rPr>
          <w:rFonts w:cs="Times New Roman"/>
          <w:sz w:val="24"/>
          <w:szCs w:val="24"/>
        </w:rPr>
        <w:t xml:space="preserve"> counterpart funds to support implementing partners’ activities; </w:t>
      </w:r>
    </w:p>
    <w:p w14:paraId="4639E632" w14:textId="77777777" w:rsidR="005857F8" w:rsidRPr="00846B0F" w:rsidRDefault="00CE29E7" w:rsidP="0075650A">
      <w:pPr>
        <w:pStyle w:val="ListParagraph"/>
        <w:numPr>
          <w:ilvl w:val="0"/>
          <w:numId w:val="4"/>
        </w:numPr>
        <w:spacing w:after="0" w:line="276" w:lineRule="auto"/>
        <w:jc w:val="both"/>
        <w:rPr>
          <w:rFonts w:cs="Times New Roman"/>
          <w:sz w:val="24"/>
          <w:szCs w:val="24"/>
        </w:rPr>
      </w:pPr>
      <w:r w:rsidRPr="00846B0F">
        <w:rPr>
          <w:rFonts w:cs="Times New Roman"/>
          <w:sz w:val="24"/>
          <w:szCs w:val="24"/>
        </w:rPr>
        <w:t>Challenges in sharing information/data between national and county level delayed uptake of activities which require data for informed decision making. This was experienced during data collection exercises for the costing of government functions</w:t>
      </w:r>
      <w:r w:rsidR="00581CC5" w:rsidRPr="00846B0F">
        <w:rPr>
          <w:rFonts w:cs="Times New Roman"/>
          <w:sz w:val="24"/>
          <w:szCs w:val="24"/>
        </w:rPr>
        <w:t>;</w:t>
      </w:r>
      <w:r w:rsidRPr="00846B0F">
        <w:rPr>
          <w:rFonts w:cs="Times New Roman"/>
          <w:sz w:val="24"/>
          <w:szCs w:val="24"/>
        </w:rPr>
        <w:t xml:space="preserve"> </w:t>
      </w:r>
    </w:p>
    <w:p w14:paraId="3640F810" w14:textId="77777777" w:rsidR="00CE29E7" w:rsidRPr="00846B0F" w:rsidRDefault="00CE29E7" w:rsidP="0075650A">
      <w:pPr>
        <w:pStyle w:val="ListParagraph"/>
        <w:numPr>
          <w:ilvl w:val="0"/>
          <w:numId w:val="4"/>
        </w:numPr>
        <w:spacing w:after="0" w:line="276" w:lineRule="auto"/>
        <w:jc w:val="both"/>
        <w:rPr>
          <w:rFonts w:cs="Times New Roman"/>
          <w:sz w:val="24"/>
          <w:szCs w:val="24"/>
        </w:rPr>
      </w:pPr>
      <w:r w:rsidRPr="00846B0F">
        <w:rPr>
          <w:rFonts w:cs="Times New Roman"/>
          <w:sz w:val="24"/>
          <w:szCs w:val="24"/>
        </w:rPr>
        <w:t xml:space="preserve">There is </w:t>
      </w:r>
      <w:r w:rsidR="005D5237" w:rsidRPr="00846B0F">
        <w:rPr>
          <w:rFonts w:cs="Times New Roman"/>
          <w:sz w:val="24"/>
          <w:szCs w:val="24"/>
        </w:rPr>
        <w:t xml:space="preserve">still some level of </w:t>
      </w:r>
      <w:r w:rsidRPr="00846B0F">
        <w:rPr>
          <w:rFonts w:cs="Times New Roman"/>
          <w:sz w:val="24"/>
          <w:szCs w:val="24"/>
        </w:rPr>
        <w:t xml:space="preserve">mistrust </w:t>
      </w:r>
      <w:r w:rsidR="005D5237" w:rsidRPr="00846B0F">
        <w:rPr>
          <w:rFonts w:cs="Times New Roman"/>
          <w:sz w:val="24"/>
          <w:szCs w:val="24"/>
        </w:rPr>
        <w:t xml:space="preserve">and suspicion </w:t>
      </w:r>
      <w:r w:rsidRPr="00846B0F">
        <w:rPr>
          <w:rFonts w:cs="Times New Roman"/>
          <w:sz w:val="24"/>
          <w:szCs w:val="24"/>
        </w:rPr>
        <w:t>between the two levels of government when undertaking activities that require synergy from both levels.</w:t>
      </w:r>
    </w:p>
    <w:p w14:paraId="757946DD" w14:textId="77777777" w:rsidR="00CE29E7" w:rsidRPr="00846B0F" w:rsidRDefault="00CE29E7" w:rsidP="00CE29E7">
      <w:pPr>
        <w:pStyle w:val="ListParagraph"/>
        <w:spacing w:after="0" w:line="276" w:lineRule="auto"/>
        <w:ind w:left="0"/>
        <w:jc w:val="both"/>
        <w:rPr>
          <w:rFonts w:cs="Times New Roman"/>
          <w:sz w:val="24"/>
          <w:szCs w:val="24"/>
        </w:rPr>
      </w:pPr>
    </w:p>
    <w:p w14:paraId="48A0904F" w14:textId="77777777" w:rsidR="00CE29E7" w:rsidRDefault="00CE29E7" w:rsidP="001E1BA1">
      <w:pPr>
        <w:pStyle w:val="NoSpacing"/>
        <w:spacing w:line="276" w:lineRule="auto"/>
        <w:jc w:val="both"/>
        <w:rPr>
          <w:rFonts w:cs="Times New Roman"/>
          <w:b/>
          <w:color w:val="00B0F0"/>
          <w:sz w:val="24"/>
          <w:szCs w:val="24"/>
        </w:rPr>
      </w:pPr>
      <w:r w:rsidRPr="0000219E">
        <w:rPr>
          <w:rFonts w:cs="Times New Roman"/>
          <w:b/>
          <w:color w:val="00B0F0"/>
          <w:sz w:val="24"/>
          <w:szCs w:val="24"/>
        </w:rPr>
        <w:t>Lesson Learned</w:t>
      </w:r>
    </w:p>
    <w:p w14:paraId="52CD02A3" w14:textId="77777777" w:rsidR="008C3A64" w:rsidRDefault="008C3A64" w:rsidP="001E1BA1">
      <w:pPr>
        <w:pStyle w:val="NoSpacing"/>
        <w:spacing w:line="276" w:lineRule="auto"/>
        <w:jc w:val="both"/>
        <w:rPr>
          <w:rFonts w:cs="Times New Roman"/>
          <w:sz w:val="24"/>
          <w:szCs w:val="24"/>
        </w:rPr>
      </w:pPr>
    </w:p>
    <w:p w14:paraId="1DEAFC30" w14:textId="77777777" w:rsidR="008C3A64" w:rsidRDefault="008C3A64" w:rsidP="001E1BA1">
      <w:pPr>
        <w:pStyle w:val="NoSpacing"/>
        <w:spacing w:line="276" w:lineRule="auto"/>
        <w:jc w:val="both"/>
        <w:rPr>
          <w:rFonts w:cs="Times New Roman"/>
          <w:sz w:val="24"/>
          <w:szCs w:val="24"/>
        </w:rPr>
      </w:pPr>
      <w:r>
        <w:rPr>
          <w:rFonts w:cs="Times New Roman"/>
          <w:sz w:val="24"/>
          <w:szCs w:val="24"/>
        </w:rPr>
        <w:t>The following lessons learned during the implementation period will inform future programming;</w:t>
      </w:r>
    </w:p>
    <w:p w14:paraId="5AD9702A" w14:textId="77777777" w:rsidR="008C3A64" w:rsidRPr="0000219E" w:rsidRDefault="008C3A64" w:rsidP="001E1BA1">
      <w:pPr>
        <w:pStyle w:val="NoSpacing"/>
        <w:spacing w:line="276" w:lineRule="auto"/>
        <w:jc w:val="both"/>
        <w:rPr>
          <w:rFonts w:cs="Times New Roman"/>
          <w:sz w:val="24"/>
          <w:szCs w:val="24"/>
        </w:rPr>
      </w:pPr>
    </w:p>
    <w:p w14:paraId="62B0D3F9" w14:textId="77777777" w:rsidR="00CE29E7" w:rsidRPr="00846B0F" w:rsidRDefault="00CE29E7" w:rsidP="0075650A">
      <w:pPr>
        <w:pStyle w:val="ListParagraph"/>
        <w:numPr>
          <w:ilvl w:val="0"/>
          <w:numId w:val="3"/>
        </w:numPr>
        <w:spacing w:after="0" w:line="276" w:lineRule="auto"/>
        <w:jc w:val="both"/>
        <w:rPr>
          <w:rFonts w:cs="Times New Roman"/>
          <w:sz w:val="24"/>
          <w:szCs w:val="24"/>
        </w:rPr>
      </w:pPr>
      <w:r w:rsidRPr="00846B0F">
        <w:rPr>
          <w:rFonts w:cs="Times New Roman"/>
          <w:sz w:val="24"/>
          <w:szCs w:val="24"/>
        </w:rPr>
        <w:t>In order to build county capacities for effective delivery of services, county governments should build strong partnerships with national government institutions in areas such as performance contracting, M&amp;E and l</w:t>
      </w:r>
      <w:r w:rsidR="00587A30" w:rsidRPr="00846B0F">
        <w:rPr>
          <w:rFonts w:cs="Times New Roman"/>
          <w:sz w:val="24"/>
          <w:szCs w:val="24"/>
        </w:rPr>
        <w:t>egal</w:t>
      </w:r>
      <w:r w:rsidRPr="00846B0F">
        <w:rPr>
          <w:rFonts w:cs="Times New Roman"/>
          <w:sz w:val="24"/>
          <w:szCs w:val="24"/>
        </w:rPr>
        <w:t xml:space="preserve"> reform</w:t>
      </w:r>
      <w:r w:rsidR="0094186D" w:rsidRPr="00846B0F">
        <w:rPr>
          <w:rFonts w:cs="Times New Roman"/>
          <w:sz w:val="24"/>
          <w:szCs w:val="24"/>
        </w:rPr>
        <w:t xml:space="preserve">s </w:t>
      </w:r>
      <w:r w:rsidR="00581CC5" w:rsidRPr="00846B0F">
        <w:rPr>
          <w:rFonts w:cs="Times New Roman"/>
          <w:sz w:val="24"/>
          <w:szCs w:val="24"/>
        </w:rPr>
        <w:t>;</w:t>
      </w:r>
      <w:r w:rsidRPr="00846B0F">
        <w:rPr>
          <w:rFonts w:cs="Times New Roman"/>
          <w:sz w:val="24"/>
          <w:szCs w:val="24"/>
        </w:rPr>
        <w:t xml:space="preserve"> </w:t>
      </w:r>
    </w:p>
    <w:p w14:paraId="34C0D3B2" w14:textId="77777777" w:rsidR="00B56A0E" w:rsidRDefault="00CE29E7" w:rsidP="0075650A">
      <w:pPr>
        <w:pStyle w:val="ListParagraph"/>
        <w:numPr>
          <w:ilvl w:val="0"/>
          <w:numId w:val="3"/>
        </w:numPr>
        <w:spacing w:after="0" w:line="276" w:lineRule="auto"/>
        <w:jc w:val="both"/>
        <w:rPr>
          <w:rFonts w:cs="Times New Roman"/>
          <w:sz w:val="24"/>
          <w:szCs w:val="24"/>
        </w:rPr>
      </w:pPr>
      <w:r w:rsidRPr="00846B0F">
        <w:rPr>
          <w:rFonts w:cs="Times New Roman"/>
          <w:sz w:val="24"/>
          <w:szCs w:val="24"/>
        </w:rPr>
        <w:lastRenderedPageBreak/>
        <w:t xml:space="preserve">The coordination role of the </w:t>
      </w:r>
      <w:proofErr w:type="spellStart"/>
      <w:r w:rsidRPr="00846B0F">
        <w:rPr>
          <w:rFonts w:cs="Times New Roman"/>
          <w:sz w:val="24"/>
          <w:szCs w:val="24"/>
        </w:rPr>
        <w:t>MoDP</w:t>
      </w:r>
      <w:proofErr w:type="spellEnd"/>
      <w:r w:rsidRPr="00846B0F">
        <w:rPr>
          <w:rFonts w:cs="Times New Roman"/>
          <w:sz w:val="24"/>
          <w:szCs w:val="24"/>
        </w:rPr>
        <w:t xml:space="preserve"> and operationalization of the Inter-governmental Relations Technical Committee and sector working groups will address emerging issues and harmonize the implementation of devolution.</w:t>
      </w:r>
    </w:p>
    <w:p w14:paraId="64861E24" w14:textId="77777777" w:rsidR="0000219E" w:rsidRPr="0000219E" w:rsidRDefault="0000219E" w:rsidP="0000219E">
      <w:pPr>
        <w:pStyle w:val="ListParagraph"/>
        <w:spacing w:after="0" w:line="276" w:lineRule="auto"/>
        <w:jc w:val="both"/>
        <w:rPr>
          <w:rFonts w:cs="Times New Roman"/>
          <w:sz w:val="24"/>
          <w:szCs w:val="24"/>
        </w:rPr>
      </w:pPr>
    </w:p>
    <w:p w14:paraId="083F3A0D" w14:textId="77777777" w:rsidR="00D600F9" w:rsidRPr="008C3A64" w:rsidRDefault="00D600F9" w:rsidP="008C3A64">
      <w:pPr>
        <w:pStyle w:val="Norway2"/>
        <w:spacing w:line="276" w:lineRule="auto"/>
        <w:ind w:hanging="720"/>
        <w:rPr>
          <w:rFonts w:cs="Times New Roman"/>
        </w:rPr>
      </w:pPr>
      <w:bookmarkStart w:id="14" w:name="_Toc447029783"/>
      <w:bookmarkStart w:id="15" w:name="_Toc414459845"/>
      <w:r w:rsidRPr="008C3A64">
        <w:rPr>
          <w:rFonts w:cs="Times New Roman"/>
        </w:rPr>
        <w:t>Risks and Assumptions</w:t>
      </w:r>
      <w:bookmarkEnd w:id="14"/>
    </w:p>
    <w:p w14:paraId="7CA2B892" w14:textId="77777777" w:rsidR="00D600F9" w:rsidRDefault="00D600F9" w:rsidP="00D600F9">
      <w:pPr>
        <w:pStyle w:val="Norway2"/>
        <w:numPr>
          <w:ilvl w:val="0"/>
          <w:numId w:val="0"/>
        </w:numPr>
        <w:spacing w:line="276" w:lineRule="auto"/>
        <w:ind w:left="720"/>
        <w:rPr>
          <w:rFonts w:eastAsiaTheme="minorHAnsi" w:cs="Times New Roman"/>
        </w:rPr>
      </w:pPr>
    </w:p>
    <w:p w14:paraId="098FAD8E" w14:textId="77777777" w:rsidR="00461BB7" w:rsidRPr="00073BCE" w:rsidRDefault="00461BB7" w:rsidP="00461BB7">
      <w:pPr>
        <w:spacing w:after="0" w:line="276" w:lineRule="auto"/>
        <w:jc w:val="both"/>
        <w:rPr>
          <w:rFonts w:cs="Arial"/>
          <w:sz w:val="24"/>
          <w:szCs w:val="24"/>
        </w:rPr>
      </w:pPr>
      <w:r w:rsidRPr="00073BCE">
        <w:rPr>
          <w:rFonts w:cs="Arial"/>
          <w:sz w:val="24"/>
          <w:szCs w:val="24"/>
        </w:rPr>
        <w:t xml:space="preserve">In the report submitted in November 2015, UNDP assessed that that the planned activities for the remaining period to 31 March 2016 would roll out as planned. </w:t>
      </w:r>
      <w:r w:rsidR="00526F35" w:rsidRPr="00073BCE">
        <w:rPr>
          <w:rFonts w:cs="Arial"/>
          <w:sz w:val="24"/>
          <w:szCs w:val="24"/>
        </w:rPr>
        <w:t xml:space="preserve">This was part of the </w:t>
      </w:r>
      <w:r w:rsidR="00526F35" w:rsidRPr="00073BCE">
        <w:rPr>
          <w:rFonts w:cs="Arial"/>
          <w:b/>
          <w:i/>
          <w:sz w:val="24"/>
          <w:szCs w:val="24"/>
        </w:rPr>
        <w:t>political</w:t>
      </w:r>
      <w:r w:rsidR="001D3CBA" w:rsidRPr="00073BCE">
        <w:rPr>
          <w:rFonts w:cs="Arial"/>
          <w:b/>
          <w:i/>
          <w:sz w:val="24"/>
          <w:szCs w:val="24"/>
        </w:rPr>
        <w:t xml:space="preserve"> risk</w:t>
      </w:r>
      <w:r w:rsidR="00526F35" w:rsidRPr="00073BCE">
        <w:rPr>
          <w:rFonts w:cs="Arial"/>
          <w:b/>
          <w:i/>
          <w:sz w:val="24"/>
          <w:szCs w:val="24"/>
        </w:rPr>
        <w:t xml:space="preserve"> identified on disagreement </w:t>
      </w:r>
      <w:r w:rsidR="001D3CBA" w:rsidRPr="00073BCE">
        <w:rPr>
          <w:rFonts w:cs="Arial"/>
          <w:b/>
          <w:i/>
          <w:sz w:val="24"/>
          <w:szCs w:val="24"/>
        </w:rPr>
        <w:t>on the revenue sharing formula</w:t>
      </w:r>
      <w:r w:rsidR="001D3CBA" w:rsidRPr="00073BCE">
        <w:rPr>
          <w:rFonts w:cs="Arial"/>
          <w:i/>
          <w:sz w:val="24"/>
          <w:szCs w:val="24"/>
        </w:rPr>
        <w:t>.</w:t>
      </w:r>
      <w:r w:rsidR="001D3CBA" w:rsidRPr="00073BCE">
        <w:rPr>
          <w:rFonts w:cs="Arial"/>
          <w:sz w:val="24"/>
          <w:szCs w:val="24"/>
        </w:rPr>
        <w:t xml:space="preserve"> </w:t>
      </w:r>
      <w:r w:rsidR="00526F35" w:rsidRPr="00073BCE">
        <w:rPr>
          <w:rFonts w:cs="Arial"/>
          <w:sz w:val="24"/>
          <w:szCs w:val="24"/>
        </w:rPr>
        <w:t xml:space="preserve"> </w:t>
      </w:r>
      <w:r w:rsidRPr="00073BCE">
        <w:rPr>
          <w:rFonts w:cs="Arial"/>
          <w:sz w:val="24"/>
          <w:szCs w:val="24"/>
        </w:rPr>
        <w:t xml:space="preserve">However, that the Commission on Revenue Allocation (CRA) had experienced political risk in terms of the agreement on the proposal for the second generation revenue sharing formula. </w:t>
      </w:r>
    </w:p>
    <w:p w14:paraId="6801E571" w14:textId="77777777" w:rsidR="00526F35" w:rsidRPr="00073BCE" w:rsidRDefault="00526F35" w:rsidP="00461BB7">
      <w:pPr>
        <w:spacing w:after="0" w:line="276" w:lineRule="auto"/>
        <w:jc w:val="both"/>
        <w:rPr>
          <w:rFonts w:cs="Arial"/>
          <w:sz w:val="24"/>
          <w:szCs w:val="24"/>
        </w:rPr>
      </w:pPr>
    </w:p>
    <w:p w14:paraId="2BCC1D7B" w14:textId="77777777" w:rsidR="00526F35" w:rsidRPr="00073BCE" w:rsidRDefault="00526F35" w:rsidP="0075650A">
      <w:pPr>
        <w:pStyle w:val="ListParagraph"/>
        <w:numPr>
          <w:ilvl w:val="0"/>
          <w:numId w:val="11"/>
        </w:numPr>
        <w:spacing w:after="0" w:line="276" w:lineRule="auto"/>
        <w:jc w:val="both"/>
        <w:rPr>
          <w:rFonts w:cs="Arial"/>
          <w:sz w:val="24"/>
          <w:szCs w:val="24"/>
        </w:rPr>
      </w:pPr>
      <w:r w:rsidRPr="00073BCE">
        <w:rPr>
          <w:rFonts w:cs="Arial"/>
          <w:sz w:val="24"/>
          <w:szCs w:val="24"/>
        </w:rPr>
        <w:t xml:space="preserve">CRA has since engaged and reached consensus with the Senate Committee on Devolution Affairs on the revenue formulae. The revised proposal will soon be tabled in the Senate. </w:t>
      </w:r>
    </w:p>
    <w:p w14:paraId="5093D412" w14:textId="77777777" w:rsidR="001D3CBA" w:rsidRPr="00073BCE" w:rsidRDefault="001D3CBA" w:rsidP="00461BB7">
      <w:pPr>
        <w:spacing w:after="0" w:line="276" w:lineRule="auto"/>
        <w:jc w:val="both"/>
        <w:rPr>
          <w:sz w:val="24"/>
          <w:szCs w:val="24"/>
        </w:rPr>
      </w:pPr>
    </w:p>
    <w:p w14:paraId="523B8EF4" w14:textId="77777777" w:rsidR="0000219E" w:rsidRPr="00073BCE" w:rsidRDefault="001D3CBA" w:rsidP="001D3CBA">
      <w:pPr>
        <w:spacing w:after="0" w:line="276" w:lineRule="auto"/>
        <w:jc w:val="both"/>
        <w:rPr>
          <w:rFonts w:cs="Arial"/>
          <w:b/>
          <w:sz w:val="24"/>
          <w:szCs w:val="24"/>
        </w:rPr>
      </w:pPr>
      <w:r w:rsidRPr="00073BCE">
        <w:rPr>
          <w:sz w:val="24"/>
          <w:szCs w:val="24"/>
        </w:rPr>
        <w:t xml:space="preserve">UNDP also identified the </w:t>
      </w:r>
      <w:r w:rsidRPr="00073BCE">
        <w:rPr>
          <w:b/>
          <w:i/>
          <w:sz w:val="24"/>
          <w:szCs w:val="24"/>
        </w:rPr>
        <w:t xml:space="preserve">financial risk of </w:t>
      </w:r>
      <w:r w:rsidR="00745038" w:rsidRPr="00073BCE">
        <w:rPr>
          <w:b/>
          <w:i/>
          <w:sz w:val="24"/>
          <w:szCs w:val="24"/>
        </w:rPr>
        <w:t>i</w:t>
      </w:r>
      <w:r w:rsidRPr="00073BCE">
        <w:rPr>
          <w:b/>
          <w:i/>
          <w:sz w:val="24"/>
          <w:szCs w:val="24"/>
        </w:rPr>
        <w:t xml:space="preserve">nadequate funding for the project. </w:t>
      </w:r>
      <w:r w:rsidRPr="00073BCE">
        <w:rPr>
          <w:sz w:val="24"/>
          <w:szCs w:val="24"/>
        </w:rPr>
        <w:t>While</w:t>
      </w:r>
      <w:r w:rsidRPr="00073BCE">
        <w:rPr>
          <w:b/>
          <w:i/>
          <w:sz w:val="24"/>
          <w:szCs w:val="24"/>
        </w:rPr>
        <w:t xml:space="preserve"> </w:t>
      </w:r>
      <w:r w:rsidRPr="00073BCE">
        <w:rPr>
          <w:sz w:val="24"/>
          <w:szCs w:val="24"/>
        </w:rPr>
        <w:t>UNDP has continued to work with national and county governments to expand resource mobilization base and work with development partners to ensure that resources mobilized are used prudently for intended results, the basket fund resource gap still remains with only USD 19</w:t>
      </w:r>
      <w:r w:rsidR="00961CEE" w:rsidRPr="00073BCE">
        <w:rPr>
          <w:sz w:val="24"/>
          <w:szCs w:val="24"/>
        </w:rPr>
        <w:t xml:space="preserve"> </w:t>
      </w:r>
      <w:r w:rsidRPr="00073BCE">
        <w:rPr>
          <w:sz w:val="24"/>
          <w:szCs w:val="24"/>
        </w:rPr>
        <w:t>million mobilized out of the targeted USD. 35</w:t>
      </w:r>
      <w:r w:rsidR="00961CEE" w:rsidRPr="00073BCE">
        <w:rPr>
          <w:sz w:val="24"/>
          <w:szCs w:val="24"/>
        </w:rPr>
        <w:t xml:space="preserve"> </w:t>
      </w:r>
      <w:r w:rsidRPr="00073BCE">
        <w:rPr>
          <w:sz w:val="24"/>
          <w:szCs w:val="24"/>
        </w:rPr>
        <w:t xml:space="preserve">million over the project period. Majority of the resources have been earmarked and hence the basket resource doesn’t lend itself to the flexibility of responding to the needs from the implementing partners. UNDP will continue to engage with donor partners to support the objectives of the project. Fiscal responsibility on available resources will be increased to ensure that there is frugality in utilization of existing resources. </w:t>
      </w:r>
      <w:r w:rsidRPr="00073BCE">
        <w:rPr>
          <w:sz w:val="24"/>
          <w:szCs w:val="24"/>
        </w:rPr>
        <w:lastRenderedPageBreak/>
        <w:t xml:space="preserve">Finally, UNDP through the Devolution Sector Working Group Steering Committee will continue to dialogue with government to allocate additional resources to the project as counterpart funding. </w:t>
      </w:r>
    </w:p>
    <w:p w14:paraId="51E80D5E" w14:textId="77777777" w:rsidR="0000219E" w:rsidRPr="00073BCE" w:rsidRDefault="0000219E" w:rsidP="008C3A64">
      <w:pPr>
        <w:pStyle w:val="Norway2"/>
        <w:numPr>
          <w:ilvl w:val="0"/>
          <w:numId w:val="0"/>
        </w:numPr>
        <w:spacing w:line="276" w:lineRule="auto"/>
        <w:rPr>
          <w:rFonts w:eastAsiaTheme="minorHAnsi" w:cs="Times New Roman"/>
        </w:rPr>
      </w:pPr>
    </w:p>
    <w:p w14:paraId="4E55AA1C" w14:textId="77777777" w:rsidR="002903E9" w:rsidRPr="00073BCE" w:rsidRDefault="00E94F2E" w:rsidP="008C3A64">
      <w:pPr>
        <w:pStyle w:val="Norway2"/>
        <w:spacing w:line="276" w:lineRule="auto"/>
        <w:ind w:hanging="720"/>
        <w:rPr>
          <w:rFonts w:cs="Times New Roman"/>
        </w:rPr>
      </w:pPr>
      <w:bookmarkStart w:id="16" w:name="_Toc447029784"/>
      <w:r w:rsidRPr="00073BCE">
        <w:rPr>
          <w:rFonts w:cs="Times New Roman"/>
        </w:rPr>
        <w:t xml:space="preserve">Conclusions and </w:t>
      </w:r>
      <w:r w:rsidR="002903E9" w:rsidRPr="00073BCE">
        <w:rPr>
          <w:rFonts w:cs="Times New Roman"/>
        </w:rPr>
        <w:t>Way Forward</w:t>
      </w:r>
      <w:bookmarkEnd w:id="16"/>
      <w:r w:rsidR="002903E9" w:rsidRPr="00073BCE">
        <w:rPr>
          <w:rFonts w:cs="Times New Roman"/>
        </w:rPr>
        <w:t xml:space="preserve"> </w:t>
      </w:r>
      <w:bookmarkEnd w:id="15"/>
    </w:p>
    <w:p w14:paraId="476BE1A4" w14:textId="77777777" w:rsidR="002903E9" w:rsidRPr="00073BCE" w:rsidRDefault="002903E9" w:rsidP="00363730">
      <w:pPr>
        <w:spacing w:after="0" w:line="276" w:lineRule="auto"/>
        <w:jc w:val="both"/>
        <w:rPr>
          <w:rFonts w:cs="Times New Roman"/>
          <w:sz w:val="24"/>
          <w:szCs w:val="24"/>
        </w:rPr>
      </w:pPr>
    </w:p>
    <w:p w14:paraId="10BC38E2" w14:textId="77777777" w:rsidR="00ED544E" w:rsidRPr="00073BCE" w:rsidRDefault="00ED544E" w:rsidP="00ED544E">
      <w:pPr>
        <w:spacing w:after="0" w:line="276" w:lineRule="auto"/>
        <w:jc w:val="both"/>
        <w:rPr>
          <w:rFonts w:cs="Times New Roman"/>
          <w:sz w:val="24"/>
          <w:szCs w:val="24"/>
        </w:rPr>
      </w:pPr>
      <w:r w:rsidRPr="00073BCE">
        <w:rPr>
          <w:rFonts w:cs="Times New Roman"/>
          <w:sz w:val="24"/>
          <w:szCs w:val="24"/>
        </w:rPr>
        <w:t xml:space="preserve">Despite the transition challenges, there is strong optimism that devolution will succeed.  Devolution is a process, not an event. It will require strong institutions coupled with political commitment and active participation by citizens to ensure that the anticipated results are realized. </w:t>
      </w:r>
    </w:p>
    <w:p w14:paraId="1FDEE396" w14:textId="77777777" w:rsidR="00ED544E" w:rsidRPr="00073BCE" w:rsidRDefault="00ED544E" w:rsidP="00ED544E">
      <w:pPr>
        <w:spacing w:after="0" w:line="276" w:lineRule="auto"/>
        <w:jc w:val="both"/>
        <w:rPr>
          <w:rFonts w:cs="Times New Roman"/>
          <w:sz w:val="24"/>
          <w:szCs w:val="24"/>
        </w:rPr>
      </w:pPr>
    </w:p>
    <w:p w14:paraId="44CDAEC9" w14:textId="48E455F0" w:rsidR="00ED544E" w:rsidRPr="00073BCE" w:rsidRDefault="00ED544E" w:rsidP="00ED544E">
      <w:pPr>
        <w:spacing w:after="0" w:line="276" w:lineRule="auto"/>
        <w:jc w:val="both"/>
        <w:rPr>
          <w:rFonts w:cs="Times New Roman"/>
          <w:bCs/>
          <w:sz w:val="24"/>
          <w:szCs w:val="24"/>
        </w:rPr>
      </w:pPr>
      <w:r w:rsidRPr="00073BCE">
        <w:rPr>
          <w:rFonts w:cs="Times New Roman"/>
          <w:sz w:val="24"/>
          <w:szCs w:val="24"/>
        </w:rPr>
        <w:t xml:space="preserve">Norway’s early entry as a Development Partner supporting devolution and providing largely non-earmarked support allowed critical institutions such as the TA and the CRA to develop the requisite foundations for long-term and sustainable support to devolution processes. With CRA firmly established and providing valuable evidence-based analytical work and TA’s outputs laying the basis for much of IGRTC’s long-term work, the sustainability of Norway’s contributions is evident. Also, Norwegian support has enabled the Government of Kenya to implement priority activities contained in the Medium Term Plan (MTP) and County Integrated Development Plans (CIDPs) to support delivery of devolved services. </w:t>
      </w:r>
      <w:r w:rsidRPr="00073BCE">
        <w:rPr>
          <w:rFonts w:cs="Times New Roman"/>
          <w:bCs/>
          <w:sz w:val="24"/>
          <w:szCs w:val="24"/>
        </w:rPr>
        <w:t>Targeted support to emerging and urgent demands related to disaster risk reduction have already generated results and have established a basis for long-term future support in this critical area.</w:t>
      </w:r>
    </w:p>
    <w:p w14:paraId="21B71ED3" w14:textId="77777777" w:rsidR="00ED544E" w:rsidRPr="00073BCE" w:rsidRDefault="00ED544E" w:rsidP="00ED544E">
      <w:pPr>
        <w:spacing w:after="0" w:line="276" w:lineRule="auto"/>
        <w:jc w:val="both"/>
        <w:rPr>
          <w:rFonts w:cs="Times New Roman"/>
          <w:bCs/>
          <w:sz w:val="24"/>
          <w:szCs w:val="24"/>
        </w:rPr>
      </w:pPr>
    </w:p>
    <w:p w14:paraId="09265B46" w14:textId="77777777" w:rsidR="00ED544E" w:rsidRPr="00073BCE" w:rsidRDefault="00ED544E" w:rsidP="00ED544E">
      <w:pPr>
        <w:spacing w:after="0" w:line="276" w:lineRule="auto"/>
        <w:jc w:val="both"/>
        <w:rPr>
          <w:rFonts w:cs="Times New Roman"/>
          <w:sz w:val="24"/>
          <w:szCs w:val="24"/>
        </w:rPr>
      </w:pPr>
      <w:r w:rsidRPr="00073BCE">
        <w:rPr>
          <w:rFonts w:cs="Times New Roman"/>
          <w:sz w:val="24"/>
          <w:szCs w:val="24"/>
        </w:rPr>
        <w:t>UNDP will continue to improve implementation of the project by strengthening the capacities of national institutions as well as county governments in line with their mandates. Furthermore, a midterm review for the project will be undertaken later on in the year, with the findings expected to further strengthen project implementation and bolster results.</w:t>
      </w:r>
    </w:p>
    <w:p w14:paraId="1F883F02" w14:textId="77777777" w:rsidR="00D34CCA" w:rsidRPr="00073BCE" w:rsidRDefault="00D34CCA" w:rsidP="00D34CCA">
      <w:pPr>
        <w:spacing w:after="0" w:line="276" w:lineRule="auto"/>
        <w:jc w:val="both"/>
        <w:rPr>
          <w:rFonts w:cs="Times New Roman"/>
          <w:sz w:val="24"/>
          <w:szCs w:val="24"/>
        </w:rPr>
      </w:pPr>
    </w:p>
    <w:sectPr w:rsidR="00D34CCA" w:rsidRPr="00073BCE" w:rsidSect="00AA4668">
      <w:pgSz w:w="11907" w:h="16839" w:code="9"/>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4E5DF" w14:textId="77777777" w:rsidR="00C42171" w:rsidRDefault="00C42171" w:rsidP="00561586">
      <w:pPr>
        <w:spacing w:after="0" w:line="240" w:lineRule="auto"/>
      </w:pPr>
      <w:r>
        <w:separator/>
      </w:r>
    </w:p>
  </w:endnote>
  <w:endnote w:type="continuationSeparator" w:id="0">
    <w:p w14:paraId="6BA613C8" w14:textId="77777777" w:rsidR="00C42171" w:rsidRDefault="00C42171" w:rsidP="00561586">
      <w:pPr>
        <w:spacing w:after="0" w:line="240" w:lineRule="auto"/>
      </w:pPr>
      <w:r>
        <w:continuationSeparator/>
      </w:r>
    </w:p>
  </w:endnote>
  <w:endnote w:type="continuationNotice" w:id="1">
    <w:p w14:paraId="242364DA" w14:textId="77777777" w:rsidR="00C42171" w:rsidRDefault="00C421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560043"/>
      <w:docPartObj>
        <w:docPartGallery w:val="Page Numbers (Bottom of Page)"/>
        <w:docPartUnique/>
      </w:docPartObj>
    </w:sdtPr>
    <w:sdtEndPr>
      <w:rPr>
        <w:color w:val="7F7F7F" w:themeColor="background1" w:themeShade="7F"/>
        <w:spacing w:val="60"/>
      </w:rPr>
    </w:sdtEndPr>
    <w:sdtContent>
      <w:p w14:paraId="575232B1" w14:textId="77777777" w:rsidR="00477F5B" w:rsidRDefault="00477F5B">
        <w:pPr>
          <w:pStyle w:val="Footer"/>
          <w:pBdr>
            <w:top w:val="single" w:sz="4" w:space="1" w:color="D9D9D9" w:themeColor="background1" w:themeShade="D9"/>
          </w:pBdr>
          <w:jc w:val="right"/>
        </w:pPr>
        <w:r>
          <w:fldChar w:fldCharType="begin"/>
        </w:r>
        <w:r>
          <w:instrText xml:space="preserve"> PAGE   \* MERGEFORMAT </w:instrText>
        </w:r>
        <w:r>
          <w:fldChar w:fldCharType="separate"/>
        </w:r>
        <w:r w:rsidR="00602113">
          <w:rPr>
            <w:noProof/>
          </w:rPr>
          <w:t>13</w:t>
        </w:r>
        <w:r>
          <w:rPr>
            <w:noProof/>
          </w:rPr>
          <w:fldChar w:fldCharType="end"/>
        </w:r>
        <w:r>
          <w:t xml:space="preserve"> | </w:t>
        </w:r>
        <w:r>
          <w:rPr>
            <w:color w:val="7F7F7F" w:themeColor="background1" w:themeShade="7F"/>
            <w:spacing w:val="60"/>
          </w:rPr>
          <w:t>Page</w:t>
        </w:r>
      </w:p>
    </w:sdtContent>
  </w:sdt>
  <w:p w14:paraId="076F9FDF" w14:textId="77777777" w:rsidR="00477F5B" w:rsidRDefault="00477F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3E7D8" w14:textId="77777777" w:rsidR="00C42171" w:rsidRDefault="00C42171" w:rsidP="00561586">
      <w:pPr>
        <w:spacing w:after="0" w:line="240" w:lineRule="auto"/>
      </w:pPr>
      <w:r>
        <w:separator/>
      </w:r>
    </w:p>
  </w:footnote>
  <w:footnote w:type="continuationSeparator" w:id="0">
    <w:p w14:paraId="41A8AAF4" w14:textId="77777777" w:rsidR="00C42171" w:rsidRDefault="00C42171" w:rsidP="00561586">
      <w:pPr>
        <w:spacing w:after="0" w:line="240" w:lineRule="auto"/>
      </w:pPr>
      <w:r>
        <w:continuationSeparator/>
      </w:r>
    </w:p>
  </w:footnote>
  <w:footnote w:type="continuationNotice" w:id="1">
    <w:p w14:paraId="3BD7EFAF" w14:textId="77777777" w:rsidR="00C42171" w:rsidRDefault="00C42171">
      <w:pPr>
        <w:spacing w:after="0" w:line="240" w:lineRule="auto"/>
      </w:pPr>
    </w:p>
  </w:footnote>
  <w:footnote w:id="2">
    <w:p w14:paraId="6765E91A" w14:textId="77777777" w:rsidR="00477F5B" w:rsidRDefault="00477F5B">
      <w:pPr>
        <w:pStyle w:val="FootnoteText"/>
      </w:pPr>
      <w:r>
        <w:rPr>
          <w:rStyle w:val="FootnoteReference"/>
        </w:rPr>
        <w:footnoteRef/>
      </w:r>
      <w:r>
        <w:t xml:space="preserve"> </w:t>
      </w:r>
      <w:r w:rsidRPr="00196653">
        <w:rPr>
          <w:rFonts w:ascii="Calibri" w:eastAsia="Times New Roman" w:hAnsi="Calibri" w:cs="Times New Roman"/>
          <w:color w:val="000000"/>
        </w:rPr>
        <w:t>Nairobi</w:t>
      </w:r>
      <w:r>
        <w:rPr>
          <w:rFonts w:ascii="Calibri" w:eastAsia="Times New Roman" w:hAnsi="Calibri" w:cs="Times New Roman"/>
          <w:color w:val="000000"/>
        </w:rPr>
        <w:t xml:space="preserve">, </w:t>
      </w:r>
      <w:r w:rsidRPr="00196653">
        <w:rPr>
          <w:rFonts w:ascii="Calibri" w:eastAsia="Times New Roman" w:hAnsi="Calibri" w:cs="Times New Roman"/>
          <w:color w:val="000000"/>
        </w:rPr>
        <w:t>Mombasa</w:t>
      </w:r>
      <w:r>
        <w:rPr>
          <w:rFonts w:ascii="Calibri" w:eastAsia="Times New Roman" w:hAnsi="Calibri" w:cs="Times New Roman"/>
          <w:color w:val="000000"/>
        </w:rPr>
        <w:t>,</w:t>
      </w:r>
      <w:r w:rsidRPr="001269F3">
        <w:rPr>
          <w:rFonts w:ascii="Calibri" w:eastAsia="Times New Roman" w:hAnsi="Calibri" w:cs="Times New Roman"/>
          <w:color w:val="000000"/>
        </w:rPr>
        <w:t xml:space="preserve"> </w:t>
      </w:r>
      <w:proofErr w:type="spellStart"/>
      <w:r w:rsidRPr="00196653">
        <w:rPr>
          <w:rFonts w:ascii="Calibri" w:eastAsia="Times New Roman" w:hAnsi="Calibri" w:cs="Times New Roman"/>
          <w:color w:val="000000"/>
        </w:rPr>
        <w:t>Kwale</w:t>
      </w:r>
      <w:proofErr w:type="spellEnd"/>
      <w:r>
        <w:rPr>
          <w:rFonts w:ascii="Calibri" w:eastAsia="Times New Roman" w:hAnsi="Calibri" w:cs="Times New Roman"/>
          <w:color w:val="000000"/>
        </w:rPr>
        <w:t>,</w:t>
      </w:r>
      <w:r w:rsidRPr="001269F3">
        <w:rPr>
          <w:rFonts w:ascii="Calibri" w:eastAsia="Times New Roman" w:hAnsi="Calibri" w:cs="Times New Roman"/>
          <w:color w:val="000000"/>
        </w:rPr>
        <w:t xml:space="preserve"> </w:t>
      </w:r>
      <w:r w:rsidRPr="00196653">
        <w:rPr>
          <w:rFonts w:ascii="Calibri" w:eastAsia="Times New Roman" w:hAnsi="Calibri" w:cs="Times New Roman"/>
          <w:color w:val="000000"/>
        </w:rPr>
        <w:t>Kilifi</w:t>
      </w:r>
      <w:r>
        <w:rPr>
          <w:rFonts w:ascii="Calibri" w:eastAsia="Times New Roman" w:hAnsi="Calibri" w:cs="Times New Roman"/>
          <w:color w:val="000000"/>
        </w:rPr>
        <w:t>,</w:t>
      </w:r>
      <w:r w:rsidRPr="001269F3">
        <w:rPr>
          <w:rFonts w:ascii="Calibri" w:eastAsia="Times New Roman" w:hAnsi="Calibri" w:cs="Times New Roman"/>
          <w:color w:val="000000"/>
        </w:rPr>
        <w:t xml:space="preserve"> </w:t>
      </w:r>
      <w:r w:rsidRPr="00196653">
        <w:rPr>
          <w:rFonts w:ascii="Calibri" w:eastAsia="Times New Roman" w:hAnsi="Calibri" w:cs="Times New Roman"/>
          <w:color w:val="000000"/>
        </w:rPr>
        <w:t>Tana River</w:t>
      </w:r>
      <w:r>
        <w:rPr>
          <w:rFonts w:ascii="Calibri" w:eastAsia="Times New Roman" w:hAnsi="Calibri" w:cs="Times New Roman"/>
          <w:color w:val="000000"/>
        </w:rPr>
        <w:t>,</w:t>
      </w:r>
      <w:r w:rsidRPr="001269F3">
        <w:rPr>
          <w:rFonts w:ascii="Calibri" w:eastAsia="Times New Roman" w:hAnsi="Calibri" w:cs="Times New Roman"/>
          <w:color w:val="000000"/>
        </w:rPr>
        <w:t xml:space="preserve"> </w:t>
      </w:r>
      <w:proofErr w:type="spellStart"/>
      <w:r w:rsidRPr="00196653">
        <w:rPr>
          <w:rFonts w:ascii="Calibri" w:eastAsia="Times New Roman" w:hAnsi="Calibri" w:cs="Times New Roman"/>
          <w:color w:val="000000"/>
        </w:rPr>
        <w:t>Baringo</w:t>
      </w:r>
      <w:proofErr w:type="spellEnd"/>
      <w:r>
        <w:rPr>
          <w:rFonts w:ascii="Calibri" w:eastAsia="Times New Roman" w:hAnsi="Calibri" w:cs="Times New Roman"/>
          <w:color w:val="000000"/>
        </w:rPr>
        <w:t>,</w:t>
      </w:r>
      <w:r w:rsidRPr="001269F3">
        <w:rPr>
          <w:rFonts w:ascii="Calibri" w:eastAsia="Times New Roman" w:hAnsi="Calibri" w:cs="Times New Roman"/>
          <w:color w:val="000000"/>
        </w:rPr>
        <w:t xml:space="preserve"> </w:t>
      </w:r>
      <w:proofErr w:type="spellStart"/>
      <w:r w:rsidRPr="00196653">
        <w:rPr>
          <w:rFonts w:ascii="Calibri" w:eastAsia="Times New Roman" w:hAnsi="Calibri" w:cs="Times New Roman"/>
          <w:color w:val="000000"/>
        </w:rPr>
        <w:t>Machakos</w:t>
      </w:r>
      <w:proofErr w:type="spellEnd"/>
      <w:r>
        <w:rPr>
          <w:rFonts w:ascii="Calibri" w:eastAsia="Times New Roman" w:hAnsi="Calibri" w:cs="Times New Roman"/>
          <w:color w:val="000000"/>
        </w:rPr>
        <w:t>,</w:t>
      </w:r>
      <w:r w:rsidRPr="001269F3">
        <w:rPr>
          <w:rFonts w:ascii="Calibri" w:eastAsia="Times New Roman" w:hAnsi="Calibri" w:cs="Times New Roman"/>
          <w:color w:val="000000"/>
        </w:rPr>
        <w:t xml:space="preserve"> </w:t>
      </w:r>
      <w:proofErr w:type="spellStart"/>
      <w:r w:rsidRPr="00196653">
        <w:rPr>
          <w:rFonts w:ascii="Calibri" w:eastAsia="Times New Roman" w:hAnsi="Calibri" w:cs="Times New Roman"/>
          <w:color w:val="000000"/>
        </w:rPr>
        <w:t>Muranga</w:t>
      </w:r>
      <w:proofErr w:type="spellEnd"/>
      <w:r>
        <w:rPr>
          <w:rFonts w:ascii="Calibri" w:eastAsia="Times New Roman" w:hAnsi="Calibri" w:cs="Times New Roman"/>
          <w:color w:val="000000"/>
        </w:rPr>
        <w:t>,</w:t>
      </w:r>
      <w:r w:rsidRPr="001269F3">
        <w:rPr>
          <w:rFonts w:ascii="Calibri" w:eastAsia="Times New Roman" w:hAnsi="Calibri" w:cs="Times New Roman"/>
          <w:color w:val="000000"/>
        </w:rPr>
        <w:t xml:space="preserve"> </w:t>
      </w:r>
      <w:proofErr w:type="spellStart"/>
      <w:r w:rsidRPr="00196653">
        <w:rPr>
          <w:rFonts w:ascii="Calibri" w:eastAsia="Times New Roman" w:hAnsi="Calibri" w:cs="Times New Roman"/>
          <w:color w:val="000000"/>
        </w:rPr>
        <w:t>Nakuru</w:t>
      </w:r>
      <w:proofErr w:type="spellEnd"/>
      <w:r>
        <w:rPr>
          <w:rFonts w:ascii="Calibri" w:eastAsia="Times New Roman" w:hAnsi="Calibri" w:cs="Times New Roman"/>
          <w:color w:val="000000"/>
        </w:rPr>
        <w:t>,</w:t>
      </w:r>
      <w:r w:rsidRPr="001269F3">
        <w:rPr>
          <w:rFonts w:ascii="Calibri" w:eastAsia="Times New Roman" w:hAnsi="Calibri" w:cs="Times New Roman"/>
          <w:color w:val="000000"/>
        </w:rPr>
        <w:t xml:space="preserve"> </w:t>
      </w:r>
      <w:proofErr w:type="spellStart"/>
      <w:r w:rsidRPr="00196653">
        <w:rPr>
          <w:rFonts w:ascii="Calibri" w:eastAsia="Times New Roman" w:hAnsi="Calibri" w:cs="Times New Roman"/>
          <w:color w:val="000000"/>
        </w:rPr>
        <w:t>Migori</w:t>
      </w:r>
      <w:proofErr w:type="spellEnd"/>
      <w:r>
        <w:rPr>
          <w:rFonts w:ascii="Calibri" w:eastAsia="Times New Roman" w:hAnsi="Calibri" w:cs="Times New Roman"/>
          <w:color w:val="000000"/>
        </w:rPr>
        <w:t>,</w:t>
      </w:r>
      <w:r w:rsidRPr="001269F3">
        <w:rPr>
          <w:rFonts w:ascii="Calibri" w:eastAsia="Times New Roman" w:hAnsi="Calibri" w:cs="Times New Roman"/>
          <w:color w:val="000000"/>
        </w:rPr>
        <w:t xml:space="preserve"> </w:t>
      </w:r>
      <w:r w:rsidRPr="00196653">
        <w:rPr>
          <w:rFonts w:ascii="Calibri" w:eastAsia="Times New Roman" w:hAnsi="Calibri" w:cs="Times New Roman"/>
          <w:color w:val="000000"/>
        </w:rPr>
        <w:t>Turkana</w:t>
      </w:r>
      <w:r>
        <w:rPr>
          <w:rFonts w:ascii="Calibri" w:eastAsia="Times New Roman" w:hAnsi="Calibri" w:cs="Times New Roman"/>
          <w:color w:val="000000"/>
        </w:rPr>
        <w:t>,</w:t>
      </w:r>
      <w:r w:rsidRPr="001269F3">
        <w:rPr>
          <w:rFonts w:ascii="Calibri" w:eastAsia="Times New Roman" w:hAnsi="Calibri" w:cs="Times New Roman"/>
          <w:color w:val="000000"/>
        </w:rPr>
        <w:t xml:space="preserve"> </w:t>
      </w:r>
      <w:proofErr w:type="spellStart"/>
      <w:r w:rsidRPr="00196653">
        <w:rPr>
          <w:rFonts w:ascii="Calibri" w:eastAsia="Times New Roman" w:hAnsi="Calibri" w:cs="Times New Roman"/>
          <w:color w:val="000000"/>
        </w:rPr>
        <w:t>Busia</w:t>
      </w:r>
      <w:proofErr w:type="spellEnd"/>
      <w:r>
        <w:rPr>
          <w:rFonts w:ascii="Calibri" w:eastAsia="Times New Roman" w:hAnsi="Calibri" w:cs="Times New Roman"/>
          <w:color w:val="000000"/>
        </w:rPr>
        <w:t>,</w:t>
      </w:r>
      <w:r w:rsidRPr="001269F3">
        <w:rPr>
          <w:rFonts w:ascii="Calibri" w:eastAsia="Times New Roman" w:hAnsi="Calibri" w:cs="Times New Roman"/>
          <w:color w:val="000000"/>
        </w:rPr>
        <w:t xml:space="preserve"> </w:t>
      </w:r>
      <w:r w:rsidRPr="00196653">
        <w:rPr>
          <w:rFonts w:ascii="Calibri" w:eastAsia="Times New Roman" w:hAnsi="Calibri" w:cs="Times New Roman"/>
          <w:color w:val="000000"/>
        </w:rPr>
        <w:t>Garissa</w:t>
      </w:r>
      <w:r>
        <w:rPr>
          <w:rFonts w:ascii="Calibri" w:eastAsia="Times New Roman" w:hAnsi="Calibri" w:cs="Times New Roman"/>
          <w:color w:val="000000"/>
        </w:rPr>
        <w:t>,</w:t>
      </w:r>
      <w:r w:rsidRPr="001269F3">
        <w:rPr>
          <w:rFonts w:ascii="Calibri" w:eastAsia="Times New Roman" w:hAnsi="Calibri" w:cs="Times New Roman"/>
          <w:color w:val="000000"/>
        </w:rPr>
        <w:t xml:space="preserve"> </w:t>
      </w:r>
      <w:proofErr w:type="spellStart"/>
      <w:r w:rsidRPr="00196653">
        <w:rPr>
          <w:rFonts w:ascii="Calibri" w:eastAsia="Times New Roman" w:hAnsi="Calibri" w:cs="Times New Roman"/>
          <w:color w:val="000000"/>
        </w:rPr>
        <w:t>Wajir</w:t>
      </w:r>
      <w:proofErr w:type="spellEnd"/>
      <w:r>
        <w:rPr>
          <w:rFonts w:ascii="Calibri" w:eastAsia="Times New Roman" w:hAnsi="Calibri" w:cs="Times New Roman"/>
          <w:color w:val="000000"/>
        </w:rPr>
        <w:t>,</w:t>
      </w:r>
      <w:r w:rsidRPr="001269F3">
        <w:rPr>
          <w:rFonts w:ascii="Calibri" w:eastAsia="Times New Roman" w:hAnsi="Calibri" w:cs="Times New Roman"/>
          <w:color w:val="000000"/>
        </w:rPr>
        <w:t xml:space="preserve"> </w:t>
      </w:r>
      <w:proofErr w:type="spellStart"/>
      <w:r w:rsidRPr="00196653">
        <w:rPr>
          <w:rFonts w:ascii="Calibri" w:eastAsia="Times New Roman" w:hAnsi="Calibri" w:cs="Times New Roman"/>
          <w:color w:val="000000"/>
        </w:rPr>
        <w:t>Mandera</w:t>
      </w:r>
      <w:proofErr w:type="spellEnd"/>
      <w:r>
        <w:rPr>
          <w:rFonts w:ascii="Calibri" w:eastAsia="Times New Roman" w:hAnsi="Calibri" w:cs="Times New Roman"/>
          <w:color w:val="000000"/>
        </w:rPr>
        <w:t>,</w:t>
      </w:r>
      <w:r w:rsidRPr="001269F3">
        <w:rPr>
          <w:rFonts w:ascii="Calibri" w:eastAsia="Times New Roman" w:hAnsi="Calibri" w:cs="Times New Roman"/>
          <w:color w:val="000000"/>
        </w:rPr>
        <w:t xml:space="preserve"> </w:t>
      </w:r>
      <w:proofErr w:type="spellStart"/>
      <w:r w:rsidRPr="00196653">
        <w:rPr>
          <w:rFonts w:ascii="Calibri" w:eastAsia="Times New Roman" w:hAnsi="Calibri" w:cs="Times New Roman"/>
          <w:color w:val="000000"/>
        </w:rPr>
        <w:t>Marsabit</w:t>
      </w:r>
      <w:proofErr w:type="spellEnd"/>
      <w:r>
        <w:rPr>
          <w:rFonts w:ascii="Calibri" w:eastAsia="Times New Roman" w:hAnsi="Calibri" w:cs="Times New Roman"/>
          <w:color w:val="000000"/>
        </w:rPr>
        <w:t>,</w:t>
      </w:r>
      <w:r w:rsidRPr="001269F3">
        <w:rPr>
          <w:rFonts w:ascii="Calibri" w:eastAsia="Times New Roman" w:hAnsi="Calibri" w:cs="Times New Roman"/>
          <w:color w:val="000000"/>
        </w:rPr>
        <w:t xml:space="preserve"> </w:t>
      </w:r>
      <w:proofErr w:type="spellStart"/>
      <w:r w:rsidRPr="00196653">
        <w:rPr>
          <w:rFonts w:ascii="Calibri" w:eastAsia="Times New Roman" w:hAnsi="Calibri" w:cs="Times New Roman"/>
          <w:color w:val="000000"/>
        </w:rPr>
        <w:t>Taita</w:t>
      </w:r>
      <w:proofErr w:type="spellEnd"/>
      <w:r w:rsidRPr="00196653">
        <w:rPr>
          <w:rFonts w:ascii="Calibri" w:eastAsia="Times New Roman" w:hAnsi="Calibri" w:cs="Times New Roman"/>
          <w:color w:val="000000"/>
        </w:rPr>
        <w:t xml:space="preserve"> </w:t>
      </w:r>
      <w:proofErr w:type="spellStart"/>
      <w:r w:rsidRPr="00196653">
        <w:rPr>
          <w:rFonts w:ascii="Calibri" w:eastAsia="Times New Roman" w:hAnsi="Calibri" w:cs="Times New Roman"/>
          <w:color w:val="000000"/>
        </w:rPr>
        <w:t>Taveta</w:t>
      </w:r>
      <w:proofErr w:type="spellEnd"/>
      <w:r>
        <w:rPr>
          <w:rFonts w:ascii="Calibri" w:eastAsia="Times New Roman" w:hAnsi="Calibri" w:cs="Times New Roman"/>
          <w:color w:val="000000"/>
        </w:rPr>
        <w:t>,</w:t>
      </w:r>
      <w:r w:rsidRPr="001269F3">
        <w:rPr>
          <w:rFonts w:ascii="Calibri" w:eastAsia="Times New Roman" w:hAnsi="Calibri" w:cs="Times New Roman"/>
          <w:color w:val="000000"/>
        </w:rPr>
        <w:t xml:space="preserve"> </w:t>
      </w:r>
      <w:proofErr w:type="spellStart"/>
      <w:r w:rsidRPr="00196653">
        <w:rPr>
          <w:rFonts w:ascii="Calibri" w:eastAsia="Times New Roman" w:hAnsi="Calibri" w:cs="Times New Roman"/>
          <w:color w:val="000000"/>
        </w:rPr>
        <w:t>Kitui</w:t>
      </w:r>
      <w:proofErr w:type="spellEnd"/>
      <w:r>
        <w:rPr>
          <w:rFonts w:ascii="Calibri" w:eastAsia="Times New Roman" w:hAnsi="Calibri" w:cs="Times New Roman"/>
          <w:color w:val="000000"/>
        </w:rPr>
        <w:t>,</w:t>
      </w:r>
      <w:r w:rsidRPr="001269F3">
        <w:rPr>
          <w:rFonts w:ascii="Calibri" w:eastAsia="Times New Roman" w:hAnsi="Calibri" w:cs="Times New Roman"/>
          <w:color w:val="000000"/>
        </w:rPr>
        <w:t xml:space="preserve"> </w:t>
      </w:r>
      <w:proofErr w:type="spellStart"/>
      <w:r w:rsidRPr="00196653">
        <w:rPr>
          <w:rFonts w:ascii="Calibri" w:eastAsia="Times New Roman" w:hAnsi="Calibri" w:cs="Times New Roman"/>
          <w:color w:val="000000"/>
        </w:rPr>
        <w:t>Makueni</w:t>
      </w:r>
      <w:proofErr w:type="spellEnd"/>
      <w:r>
        <w:rPr>
          <w:rFonts w:ascii="Calibri" w:eastAsia="Times New Roman" w:hAnsi="Calibri" w:cs="Times New Roman"/>
          <w:color w:val="000000"/>
        </w:rPr>
        <w:t>,</w:t>
      </w:r>
      <w:r w:rsidRPr="001269F3">
        <w:rPr>
          <w:rFonts w:ascii="Calibri" w:eastAsia="Times New Roman" w:hAnsi="Calibri" w:cs="Times New Roman"/>
          <w:color w:val="000000"/>
        </w:rPr>
        <w:t xml:space="preserve"> </w:t>
      </w:r>
      <w:proofErr w:type="spellStart"/>
      <w:r w:rsidRPr="00196653">
        <w:rPr>
          <w:rFonts w:ascii="Calibri" w:eastAsia="Times New Roman" w:hAnsi="Calibri" w:cs="Times New Roman"/>
          <w:color w:val="000000"/>
        </w:rPr>
        <w:t>Bungoma</w:t>
      </w:r>
      <w:proofErr w:type="spellEnd"/>
      <w:r>
        <w:rPr>
          <w:rFonts w:ascii="Calibri" w:eastAsia="Times New Roman" w:hAnsi="Calibri" w:cs="Times New Roman"/>
          <w:color w:val="000000"/>
        </w:rPr>
        <w:t>,</w:t>
      </w:r>
      <w:r w:rsidRPr="001269F3">
        <w:rPr>
          <w:rFonts w:ascii="Calibri" w:eastAsia="Times New Roman" w:hAnsi="Calibri" w:cs="Times New Roman"/>
          <w:color w:val="000000"/>
        </w:rPr>
        <w:t xml:space="preserve"> </w:t>
      </w:r>
      <w:r w:rsidRPr="00196653">
        <w:rPr>
          <w:rFonts w:ascii="Calibri" w:eastAsia="Times New Roman" w:hAnsi="Calibri" w:cs="Times New Roman"/>
          <w:color w:val="000000"/>
        </w:rPr>
        <w:t>West Pokot</w:t>
      </w:r>
      <w:r>
        <w:rPr>
          <w:rFonts w:ascii="Calibri" w:eastAsia="Times New Roman" w:hAnsi="Calibri" w:cs="Times New Roman"/>
          <w:color w:val="000000"/>
        </w:rPr>
        <w:t>,</w:t>
      </w:r>
      <w:r w:rsidRPr="001269F3">
        <w:rPr>
          <w:rFonts w:ascii="Calibri" w:eastAsia="Times New Roman" w:hAnsi="Calibri" w:cs="Times New Roman"/>
          <w:color w:val="000000"/>
        </w:rPr>
        <w:t xml:space="preserve"> </w:t>
      </w:r>
      <w:proofErr w:type="spellStart"/>
      <w:r w:rsidRPr="00196653">
        <w:rPr>
          <w:rFonts w:ascii="Calibri" w:eastAsia="Times New Roman" w:hAnsi="Calibri" w:cs="Times New Roman"/>
          <w:color w:val="000000"/>
        </w:rPr>
        <w:t>Narok</w:t>
      </w:r>
      <w:proofErr w:type="spellEnd"/>
      <w:r>
        <w:rPr>
          <w:rFonts w:ascii="Calibri" w:eastAsia="Times New Roman" w:hAnsi="Calibri" w:cs="Times New Roman"/>
          <w:color w:val="000000"/>
        </w:rPr>
        <w:t>,</w:t>
      </w:r>
      <w:r w:rsidRPr="001269F3">
        <w:rPr>
          <w:rFonts w:ascii="Calibri" w:eastAsia="Times New Roman" w:hAnsi="Calibri" w:cs="Times New Roman"/>
          <w:color w:val="000000"/>
        </w:rPr>
        <w:t xml:space="preserve"> </w:t>
      </w:r>
      <w:proofErr w:type="spellStart"/>
      <w:r w:rsidRPr="00196653">
        <w:rPr>
          <w:rFonts w:ascii="Calibri" w:eastAsia="Times New Roman" w:hAnsi="Calibri" w:cs="Times New Roman"/>
          <w:color w:val="000000"/>
        </w:rPr>
        <w:t>Homa</w:t>
      </w:r>
      <w:proofErr w:type="spellEnd"/>
      <w:r w:rsidRPr="00196653">
        <w:rPr>
          <w:rFonts w:ascii="Calibri" w:eastAsia="Times New Roman" w:hAnsi="Calibri" w:cs="Times New Roman"/>
          <w:color w:val="000000"/>
        </w:rPr>
        <w:t xml:space="preserve"> Bay</w:t>
      </w:r>
      <w:r>
        <w:rPr>
          <w:rFonts w:ascii="Calibri" w:eastAsia="Times New Roman" w:hAnsi="Calibri" w:cs="Times New Roman"/>
          <w:color w:val="000000"/>
        </w:rPr>
        <w:t xml:space="preserve"> and </w:t>
      </w:r>
      <w:r w:rsidRPr="00196653">
        <w:rPr>
          <w:rFonts w:ascii="Calibri" w:eastAsia="Times New Roman" w:hAnsi="Calibri" w:cs="Times New Roman"/>
          <w:color w:val="000000"/>
        </w:rPr>
        <w:t>Kisumu</w:t>
      </w:r>
    </w:p>
    <w:p w14:paraId="4BAC8B19" w14:textId="77777777" w:rsidR="00477F5B" w:rsidRDefault="00477F5B">
      <w:pPr>
        <w:pStyle w:val="FootnoteText"/>
      </w:pPr>
    </w:p>
  </w:footnote>
  <w:footnote w:id="3">
    <w:p w14:paraId="35611334" w14:textId="77777777" w:rsidR="00477F5B" w:rsidRDefault="00477F5B" w:rsidP="00E50AFF">
      <w:pPr>
        <w:pStyle w:val="FootnoteText"/>
      </w:pPr>
      <w:r>
        <w:rPr>
          <w:rStyle w:val="FootnoteReference"/>
        </w:rPr>
        <w:footnoteRef/>
      </w:r>
      <w:r>
        <w:t xml:space="preserve"> These are encumbered funds of payments already received and being processed by the Country Office.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045"/>
      </v:shape>
    </w:pict>
  </w:numPicBullet>
  <w:abstractNum w:abstractNumId="0" w15:restartNumberingAfterBreak="0">
    <w:nsid w:val="15AC22F8"/>
    <w:multiLevelType w:val="hybridMultilevel"/>
    <w:tmpl w:val="8D545D8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97DB8"/>
    <w:multiLevelType w:val="hybridMultilevel"/>
    <w:tmpl w:val="D0446190"/>
    <w:lvl w:ilvl="0" w:tplc="0548F5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E4DBE"/>
    <w:multiLevelType w:val="hybridMultilevel"/>
    <w:tmpl w:val="8BD60B70"/>
    <w:lvl w:ilvl="0" w:tplc="2F5893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F77931"/>
    <w:multiLevelType w:val="hybridMultilevel"/>
    <w:tmpl w:val="1CF67744"/>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4F0CCF"/>
    <w:multiLevelType w:val="hybridMultilevel"/>
    <w:tmpl w:val="45D469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AA4F88"/>
    <w:multiLevelType w:val="hybridMultilevel"/>
    <w:tmpl w:val="48B25BBE"/>
    <w:lvl w:ilvl="0" w:tplc="2D9AF5A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F63F76"/>
    <w:multiLevelType w:val="hybridMultilevel"/>
    <w:tmpl w:val="86421ABA"/>
    <w:lvl w:ilvl="0" w:tplc="C0A63858">
      <w:start w:val="1"/>
      <w:numFmt w:val="decimal"/>
      <w:pStyle w:val="Norway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35693B"/>
    <w:multiLevelType w:val="hybridMultilevel"/>
    <w:tmpl w:val="8AF8D294"/>
    <w:lvl w:ilvl="0" w:tplc="0409001B">
      <w:start w:val="1"/>
      <w:numFmt w:val="lowerRoman"/>
      <w:lvlText w:val="%1."/>
      <w:lvlJc w:val="righ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5104562F"/>
    <w:multiLevelType w:val="hybridMultilevel"/>
    <w:tmpl w:val="46326C44"/>
    <w:lvl w:ilvl="0" w:tplc="649069DA">
      <w:start w:val="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2B1453"/>
    <w:multiLevelType w:val="hybridMultilevel"/>
    <w:tmpl w:val="B866B4C6"/>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E3C4A0F"/>
    <w:multiLevelType w:val="hybridMultilevel"/>
    <w:tmpl w:val="3F447E36"/>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8047CD7"/>
    <w:multiLevelType w:val="hybridMultilevel"/>
    <w:tmpl w:val="49F8025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7"/>
  </w:num>
  <w:num w:numId="5">
    <w:abstractNumId w:val="2"/>
  </w:num>
  <w:num w:numId="6">
    <w:abstractNumId w:val="9"/>
  </w:num>
  <w:num w:numId="7">
    <w:abstractNumId w:val="10"/>
  </w:num>
  <w:num w:numId="8">
    <w:abstractNumId w:val="3"/>
  </w:num>
  <w:num w:numId="9">
    <w:abstractNumId w:val="4"/>
  </w:num>
  <w:num w:numId="10">
    <w:abstractNumId w:val="1"/>
  </w:num>
  <w:num w:numId="11">
    <w:abstractNumId w:val="8"/>
  </w:num>
  <w:num w:numId="12">
    <w:abstractNumId w:val="6"/>
  </w:num>
  <w:num w:numId="13">
    <w:abstractNumId w:val="6"/>
  </w:num>
  <w:num w:numId="14">
    <w:abstractNumId w:val="6"/>
  </w:num>
  <w:num w:numId="1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1D6"/>
    <w:rsid w:val="0000219E"/>
    <w:rsid w:val="00003DFF"/>
    <w:rsid w:val="00012C05"/>
    <w:rsid w:val="00013958"/>
    <w:rsid w:val="000157A4"/>
    <w:rsid w:val="00022965"/>
    <w:rsid w:val="00022EBF"/>
    <w:rsid w:val="00031069"/>
    <w:rsid w:val="000320F9"/>
    <w:rsid w:val="000370F0"/>
    <w:rsid w:val="00037188"/>
    <w:rsid w:val="00037F70"/>
    <w:rsid w:val="00042559"/>
    <w:rsid w:val="00046FE2"/>
    <w:rsid w:val="00050481"/>
    <w:rsid w:val="00050604"/>
    <w:rsid w:val="00051F4C"/>
    <w:rsid w:val="00052C3D"/>
    <w:rsid w:val="000546E8"/>
    <w:rsid w:val="000569FB"/>
    <w:rsid w:val="00057232"/>
    <w:rsid w:val="0006216A"/>
    <w:rsid w:val="00062F21"/>
    <w:rsid w:val="00073BCE"/>
    <w:rsid w:val="00074395"/>
    <w:rsid w:val="00076ADE"/>
    <w:rsid w:val="000772D4"/>
    <w:rsid w:val="00077326"/>
    <w:rsid w:val="00080593"/>
    <w:rsid w:val="00081DFF"/>
    <w:rsid w:val="000862EB"/>
    <w:rsid w:val="000865E0"/>
    <w:rsid w:val="00090384"/>
    <w:rsid w:val="00095B0B"/>
    <w:rsid w:val="00095FEC"/>
    <w:rsid w:val="000A27FA"/>
    <w:rsid w:val="000A350B"/>
    <w:rsid w:val="000A3D77"/>
    <w:rsid w:val="000A500B"/>
    <w:rsid w:val="000A588B"/>
    <w:rsid w:val="000A5C75"/>
    <w:rsid w:val="000A5E19"/>
    <w:rsid w:val="000B080C"/>
    <w:rsid w:val="000B1EB8"/>
    <w:rsid w:val="000B7621"/>
    <w:rsid w:val="000C13C7"/>
    <w:rsid w:val="000C458A"/>
    <w:rsid w:val="000C7688"/>
    <w:rsid w:val="000D0B68"/>
    <w:rsid w:val="000D3EC8"/>
    <w:rsid w:val="000D5EAC"/>
    <w:rsid w:val="000D63F0"/>
    <w:rsid w:val="000E09C8"/>
    <w:rsid w:val="000E0B47"/>
    <w:rsid w:val="000E371E"/>
    <w:rsid w:val="000E62A3"/>
    <w:rsid w:val="0010384E"/>
    <w:rsid w:val="00107069"/>
    <w:rsid w:val="00107B5F"/>
    <w:rsid w:val="00113D13"/>
    <w:rsid w:val="00113D22"/>
    <w:rsid w:val="00117FC3"/>
    <w:rsid w:val="00120E1E"/>
    <w:rsid w:val="00122989"/>
    <w:rsid w:val="001269F3"/>
    <w:rsid w:val="00127311"/>
    <w:rsid w:val="00127741"/>
    <w:rsid w:val="001334D1"/>
    <w:rsid w:val="00134F11"/>
    <w:rsid w:val="00136414"/>
    <w:rsid w:val="001412CF"/>
    <w:rsid w:val="00141330"/>
    <w:rsid w:val="00141CEB"/>
    <w:rsid w:val="00141D97"/>
    <w:rsid w:val="00147E96"/>
    <w:rsid w:val="0015078F"/>
    <w:rsid w:val="00151B0B"/>
    <w:rsid w:val="00160214"/>
    <w:rsid w:val="00161969"/>
    <w:rsid w:val="0016495E"/>
    <w:rsid w:val="001700D9"/>
    <w:rsid w:val="00172457"/>
    <w:rsid w:val="00174953"/>
    <w:rsid w:val="001827B8"/>
    <w:rsid w:val="00192E5C"/>
    <w:rsid w:val="001969BA"/>
    <w:rsid w:val="00197118"/>
    <w:rsid w:val="001A3883"/>
    <w:rsid w:val="001A3FA7"/>
    <w:rsid w:val="001B10F3"/>
    <w:rsid w:val="001B23A7"/>
    <w:rsid w:val="001B4096"/>
    <w:rsid w:val="001B68F7"/>
    <w:rsid w:val="001C3235"/>
    <w:rsid w:val="001C4935"/>
    <w:rsid w:val="001D2A13"/>
    <w:rsid w:val="001D3CBA"/>
    <w:rsid w:val="001D3F3E"/>
    <w:rsid w:val="001D494D"/>
    <w:rsid w:val="001E1BA1"/>
    <w:rsid w:val="001E4F0A"/>
    <w:rsid w:val="001E6EEE"/>
    <w:rsid w:val="001E7231"/>
    <w:rsid w:val="001F01A0"/>
    <w:rsid w:val="001F740C"/>
    <w:rsid w:val="002011E9"/>
    <w:rsid w:val="0020199A"/>
    <w:rsid w:val="00212923"/>
    <w:rsid w:val="00215408"/>
    <w:rsid w:val="00217894"/>
    <w:rsid w:val="00221A56"/>
    <w:rsid w:val="00223ABD"/>
    <w:rsid w:val="0023145D"/>
    <w:rsid w:val="002318C0"/>
    <w:rsid w:val="00232B66"/>
    <w:rsid w:val="002348EE"/>
    <w:rsid w:val="002374DF"/>
    <w:rsid w:val="00241502"/>
    <w:rsid w:val="00242285"/>
    <w:rsid w:val="00242E0E"/>
    <w:rsid w:val="00245F45"/>
    <w:rsid w:val="00261ADA"/>
    <w:rsid w:val="002638AE"/>
    <w:rsid w:val="002802D4"/>
    <w:rsid w:val="00283947"/>
    <w:rsid w:val="00283BCA"/>
    <w:rsid w:val="002903E9"/>
    <w:rsid w:val="00291E3E"/>
    <w:rsid w:val="002934CC"/>
    <w:rsid w:val="00294383"/>
    <w:rsid w:val="002948EF"/>
    <w:rsid w:val="002A3A75"/>
    <w:rsid w:val="002A427B"/>
    <w:rsid w:val="002A67FD"/>
    <w:rsid w:val="002A77D8"/>
    <w:rsid w:val="002B09DB"/>
    <w:rsid w:val="002B0D5D"/>
    <w:rsid w:val="002B4172"/>
    <w:rsid w:val="002B4B5A"/>
    <w:rsid w:val="002C311F"/>
    <w:rsid w:val="002C47C4"/>
    <w:rsid w:val="002C532F"/>
    <w:rsid w:val="002C7890"/>
    <w:rsid w:val="002D052C"/>
    <w:rsid w:val="002D5AA6"/>
    <w:rsid w:val="002E04BB"/>
    <w:rsid w:val="002E0FC4"/>
    <w:rsid w:val="002E39FF"/>
    <w:rsid w:val="002E54CE"/>
    <w:rsid w:val="002E555B"/>
    <w:rsid w:val="002E6B98"/>
    <w:rsid w:val="002E6D8C"/>
    <w:rsid w:val="002F0B94"/>
    <w:rsid w:val="002F1496"/>
    <w:rsid w:val="002F1CF9"/>
    <w:rsid w:val="00301E5C"/>
    <w:rsid w:val="0030215C"/>
    <w:rsid w:val="00304031"/>
    <w:rsid w:val="00304FA9"/>
    <w:rsid w:val="00305F96"/>
    <w:rsid w:val="00315B92"/>
    <w:rsid w:val="00323463"/>
    <w:rsid w:val="0032631B"/>
    <w:rsid w:val="003323C7"/>
    <w:rsid w:val="0033431C"/>
    <w:rsid w:val="0034312D"/>
    <w:rsid w:val="00350356"/>
    <w:rsid w:val="00356BBF"/>
    <w:rsid w:val="00362C26"/>
    <w:rsid w:val="00363022"/>
    <w:rsid w:val="00363730"/>
    <w:rsid w:val="0036483C"/>
    <w:rsid w:val="003672AE"/>
    <w:rsid w:val="00371432"/>
    <w:rsid w:val="00374480"/>
    <w:rsid w:val="00380814"/>
    <w:rsid w:val="0038147D"/>
    <w:rsid w:val="00387E23"/>
    <w:rsid w:val="0039065D"/>
    <w:rsid w:val="003915A1"/>
    <w:rsid w:val="00396865"/>
    <w:rsid w:val="003A112B"/>
    <w:rsid w:val="003A6632"/>
    <w:rsid w:val="003A66EA"/>
    <w:rsid w:val="003B1E68"/>
    <w:rsid w:val="003C3B1C"/>
    <w:rsid w:val="003C729B"/>
    <w:rsid w:val="003D0D8D"/>
    <w:rsid w:val="003D251A"/>
    <w:rsid w:val="003D260F"/>
    <w:rsid w:val="003D55D8"/>
    <w:rsid w:val="003D5734"/>
    <w:rsid w:val="003D7DF9"/>
    <w:rsid w:val="003E094C"/>
    <w:rsid w:val="003E767A"/>
    <w:rsid w:val="003F5EF1"/>
    <w:rsid w:val="003F6F9B"/>
    <w:rsid w:val="0040152A"/>
    <w:rsid w:val="00401E5C"/>
    <w:rsid w:val="00407F79"/>
    <w:rsid w:val="0041339D"/>
    <w:rsid w:val="004169C9"/>
    <w:rsid w:val="00423FE4"/>
    <w:rsid w:val="00426CE7"/>
    <w:rsid w:val="004304FB"/>
    <w:rsid w:val="004310AF"/>
    <w:rsid w:val="00431515"/>
    <w:rsid w:val="00433CAE"/>
    <w:rsid w:val="004350A1"/>
    <w:rsid w:val="00437F5C"/>
    <w:rsid w:val="004409BE"/>
    <w:rsid w:val="00444264"/>
    <w:rsid w:val="00444E74"/>
    <w:rsid w:val="004461CE"/>
    <w:rsid w:val="004465B7"/>
    <w:rsid w:val="004520F6"/>
    <w:rsid w:val="00461BB7"/>
    <w:rsid w:val="00461D77"/>
    <w:rsid w:val="00463723"/>
    <w:rsid w:val="004642FB"/>
    <w:rsid w:val="004665AD"/>
    <w:rsid w:val="0047388F"/>
    <w:rsid w:val="00473C17"/>
    <w:rsid w:val="00475DE8"/>
    <w:rsid w:val="00477F5B"/>
    <w:rsid w:val="00480118"/>
    <w:rsid w:val="00480759"/>
    <w:rsid w:val="00482BE9"/>
    <w:rsid w:val="0048405D"/>
    <w:rsid w:val="004846F4"/>
    <w:rsid w:val="00484EFB"/>
    <w:rsid w:val="00490EF7"/>
    <w:rsid w:val="00491127"/>
    <w:rsid w:val="00491ED6"/>
    <w:rsid w:val="00492FFE"/>
    <w:rsid w:val="004A6E92"/>
    <w:rsid w:val="004B114F"/>
    <w:rsid w:val="004B16AA"/>
    <w:rsid w:val="004B22D4"/>
    <w:rsid w:val="004B256B"/>
    <w:rsid w:val="004B5431"/>
    <w:rsid w:val="004B74E4"/>
    <w:rsid w:val="004C0B65"/>
    <w:rsid w:val="004C0E91"/>
    <w:rsid w:val="004C183E"/>
    <w:rsid w:val="004C1B86"/>
    <w:rsid w:val="004C6F86"/>
    <w:rsid w:val="004D0CDC"/>
    <w:rsid w:val="004D1A77"/>
    <w:rsid w:val="004D38B7"/>
    <w:rsid w:val="004D53C5"/>
    <w:rsid w:val="004E70FF"/>
    <w:rsid w:val="004F15BB"/>
    <w:rsid w:val="004F23EB"/>
    <w:rsid w:val="004F2457"/>
    <w:rsid w:val="004F3A28"/>
    <w:rsid w:val="004F7488"/>
    <w:rsid w:val="004F7E1F"/>
    <w:rsid w:val="00501EEA"/>
    <w:rsid w:val="005023FE"/>
    <w:rsid w:val="005039EA"/>
    <w:rsid w:val="005061D7"/>
    <w:rsid w:val="00506391"/>
    <w:rsid w:val="00510FCF"/>
    <w:rsid w:val="0051256A"/>
    <w:rsid w:val="00512796"/>
    <w:rsid w:val="00515B27"/>
    <w:rsid w:val="00515EE5"/>
    <w:rsid w:val="005168DB"/>
    <w:rsid w:val="00520480"/>
    <w:rsid w:val="005247DF"/>
    <w:rsid w:val="00526F35"/>
    <w:rsid w:val="0053312C"/>
    <w:rsid w:val="00533903"/>
    <w:rsid w:val="00535514"/>
    <w:rsid w:val="00537A19"/>
    <w:rsid w:val="00541753"/>
    <w:rsid w:val="00541D69"/>
    <w:rsid w:val="005450AE"/>
    <w:rsid w:val="005534C8"/>
    <w:rsid w:val="005558B8"/>
    <w:rsid w:val="0055613D"/>
    <w:rsid w:val="005575C8"/>
    <w:rsid w:val="00557F72"/>
    <w:rsid w:val="00561586"/>
    <w:rsid w:val="0056182A"/>
    <w:rsid w:val="005622AA"/>
    <w:rsid w:val="00564980"/>
    <w:rsid w:val="00564AE1"/>
    <w:rsid w:val="00570CED"/>
    <w:rsid w:val="00572628"/>
    <w:rsid w:val="00572A4D"/>
    <w:rsid w:val="0057385E"/>
    <w:rsid w:val="00575E64"/>
    <w:rsid w:val="00576E96"/>
    <w:rsid w:val="00581CC5"/>
    <w:rsid w:val="0058332E"/>
    <w:rsid w:val="0058487D"/>
    <w:rsid w:val="005857F8"/>
    <w:rsid w:val="00587A30"/>
    <w:rsid w:val="00592534"/>
    <w:rsid w:val="0059288C"/>
    <w:rsid w:val="00595198"/>
    <w:rsid w:val="0059620B"/>
    <w:rsid w:val="0059671B"/>
    <w:rsid w:val="005A3F10"/>
    <w:rsid w:val="005A69B2"/>
    <w:rsid w:val="005A6EB3"/>
    <w:rsid w:val="005A75C3"/>
    <w:rsid w:val="005B08C6"/>
    <w:rsid w:val="005B3DA7"/>
    <w:rsid w:val="005B5FB7"/>
    <w:rsid w:val="005B7DCA"/>
    <w:rsid w:val="005C60C1"/>
    <w:rsid w:val="005D3A6C"/>
    <w:rsid w:val="005D4A67"/>
    <w:rsid w:val="005D5237"/>
    <w:rsid w:val="005E23BF"/>
    <w:rsid w:val="005E3C49"/>
    <w:rsid w:val="005F1035"/>
    <w:rsid w:val="005F1955"/>
    <w:rsid w:val="005F2614"/>
    <w:rsid w:val="005F2D79"/>
    <w:rsid w:val="006008C4"/>
    <w:rsid w:val="006016CD"/>
    <w:rsid w:val="00602113"/>
    <w:rsid w:val="00602401"/>
    <w:rsid w:val="00603BF2"/>
    <w:rsid w:val="00605DC6"/>
    <w:rsid w:val="006114AE"/>
    <w:rsid w:val="006157F9"/>
    <w:rsid w:val="00616B72"/>
    <w:rsid w:val="0061758A"/>
    <w:rsid w:val="00620F60"/>
    <w:rsid w:val="00621536"/>
    <w:rsid w:val="006220E6"/>
    <w:rsid w:val="00625FF0"/>
    <w:rsid w:val="00626626"/>
    <w:rsid w:val="00631B6B"/>
    <w:rsid w:val="00636770"/>
    <w:rsid w:val="00644616"/>
    <w:rsid w:val="00645317"/>
    <w:rsid w:val="006459CA"/>
    <w:rsid w:val="00653DFE"/>
    <w:rsid w:val="00654FA2"/>
    <w:rsid w:val="00655D41"/>
    <w:rsid w:val="00660AD3"/>
    <w:rsid w:val="00665B88"/>
    <w:rsid w:val="00665ECD"/>
    <w:rsid w:val="00667C76"/>
    <w:rsid w:val="00672CAA"/>
    <w:rsid w:val="00690219"/>
    <w:rsid w:val="006904E5"/>
    <w:rsid w:val="006937FC"/>
    <w:rsid w:val="00695529"/>
    <w:rsid w:val="0069585C"/>
    <w:rsid w:val="0069759A"/>
    <w:rsid w:val="006A0963"/>
    <w:rsid w:val="006A0981"/>
    <w:rsid w:val="006A0F6B"/>
    <w:rsid w:val="006A19B1"/>
    <w:rsid w:val="006A416A"/>
    <w:rsid w:val="006A452E"/>
    <w:rsid w:val="006A4E4D"/>
    <w:rsid w:val="006A5F59"/>
    <w:rsid w:val="006A7927"/>
    <w:rsid w:val="006B1315"/>
    <w:rsid w:val="006B2095"/>
    <w:rsid w:val="006B59AC"/>
    <w:rsid w:val="006B62F4"/>
    <w:rsid w:val="006B672D"/>
    <w:rsid w:val="006B6C21"/>
    <w:rsid w:val="006B7BF3"/>
    <w:rsid w:val="006C2C47"/>
    <w:rsid w:val="006C38EB"/>
    <w:rsid w:val="006C4B21"/>
    <w:rsid w:val="006C4B60"/>
    <w:rsid w:val="006D29B1"/>
    <w:rsid w:val="006D3318"/>
    <w:rsid w:val="006D33E7"/>
    <w:rsid w:val="006D3A6C"/>
    <w:rsid w:val="006D43D9"/>
    <w:rsid w:val="006D4E6B"/>
    <w:rsid w:val="006F4690"/>
    <w:rsid w:val="00701BDF"/>
    <w:rsid w:val="00703E88"/>
    <w:rsid w:val="00704A95"/>
    <w:rsid w:val="00706853"/>
    <w:rsid w:val="007068D0"/>
    <w:rsid w:val="007173E2"/>
    <w:rsid w:val="007179EF"/>
    <w:rsid w:val="00724209"/>
    <w:rsid w:val="007269EE"/>
    <w:rsid w:val="0073058C"/>
    <w:rsid w:val="0073361B"/>
    <w:rsid w:val="00733915"/>
    <w:rsid w:val="00733B15"/>
    <w:rsid w:val="00737290"/>
    <w:rsid w:val="00737F69"/>
    <w:rsid w:val="00741EC2"/>
    <w:rsid w:val="00743A0E"/>
    <w:rsid w:val="00745038"/>
    <w:rsid w:val="0075263F"/>
    <w:rsid w:val="007526EF"/>
    <w:rsid w:val="00753E8E"/>
    <w:rsid w:val="00754D42"/>
    <w:rsid w:val="0075650A"/>
    <w:rsid w:val="0075753D"/>
    <w:rsid w:val="007643D6"/>
    <w:rsid w:val="007662B1"/>
    <w:rsid w:val="0076723E"/>
    <w:rsid w:val="00771292"/>
    <w:rsid w:val="00776FEA"/>
    <w:rsid w:val="00782C5C"/>
    <w:rsid w:val="0078348E"/>
    <w:rsid w:val="007944F0"/>
    <w:rsid w:val="007B06CE"/>
    <w:rsid w:val="007B420A"/>
    <w:rsid w:val="007B5556"/>
    <w:rsid w:val="007B61E0"/>
    <w:rsid w:val="007B7764"/>
    <w:rsid w:val="007C19B0"/>
    <w:rsid w:val="007C3698"/>
    <w:rsid w:val="007C5A96"/>
    <w:rsid w:val="007C5B51"/>
    <w:rsid w:val="007C731E"/>
    <w:rsid w:val="007C7B07"/>
    <w:rsid w:val="007D1997"/>
    <w:rsid w:val="007D4C22"/>
    <w:rsid w:val="007D5D4E"/>
    <w:rsid w:val="007D6ABC"/>
    <w:rsid w:val="007D783A"/>
    <w:rsid w:val="007E3B8D"/>
    <w:rsid w:val="007E481A"/>
    <w:rsid w:val="007E663B"/>
    <w:rsid w:val="007F0623"/>
    <w:rsid w:val="007F158A"/>
    <w:rsid w:val="007F1A35"/>
    <w:rsid w:val="007F627F"/>
    <w:rsid w:val="00806D1F"/>
    <w:rsid w:val="00812622"/>
    <w:rsid w:val="00813D69"/>
    <w:rsid w:val="0081465B"/>
    <w:rsid w:val="008157C2"/>
    <w:rsid w:val="0081711D"/>
    <w:rsid w:val="0081760B"/>
    <w:rsid w:val="00820C26"/>
    <w:rsid w:val="008241E9"/>
    <w:rsid w:val="0082423B"/>
    <w:rsid w:val="00831942"/>
    <w:rsid w:val="0083657A"/>
    <w:rsid w:val="0084197C"/>
    <w:rsid w:val="00846B0F"/>
    <w:rsid w:val="008518C5"/>
    <w:rsid w:val="008540CD"/>
    <w:rsid w:val="00856C21"/>
    <w:rsid w:val="00856C80"/>
    <w:rsid w:val="0085784B"/>
    <w:rsid w:val="00862CCF"/>
    <w:rsid w:val="00866678"/>
    <w:rsid w:val="00866808"/>
    <w:rsid w:val="00866CB7"/>
    <w:rsid w:val="00871792"/>
    <w:rsid w:val="00871C8C"/>
    <w:rsid w:val="00874ABB"/>
    <w:rsid w:val="00874CA6"/>
    <w:rsid w:val="00876CBD"/>
    <w:rsid w:val="008774CC"/>
    <w:rsid w:val="008808B0"/>
    <w:rsid w:val="00881784"/>
    <w:rsid w:val="0089003D"/>
    <w:rsid w:val="00891045"/>
    <w:rsid w:val="00896996"/>
    <w:rsid w:val="008A18FE"/>
    <w:rsid w:val="008A4D1F"/>
    <w:rsid w:val="008A513B"/>
    <w:rsid w:val="008C29AF"/>
    <w:rsid w:val="008C3A64"/>
    <w:rsid w:val="008C3DE5"/>
    <w:rsid w:val="008C55F1"/>
    <w:rsid w:val="008C5E47"/>
    <w:rsid w:val="008C758A"/>
    <w:rsid w:val="008E13A4"/>
    <w:rsid w:val="008E15E8"/>
    <w:rsid w:val="008E4275"/>
    <w:rsid w:val="008E61A9"/>
    <w:rsid w:val="008F0266"/>
    <w:rsid w:val="008F06FC"/>
    <w:rsid w:val="008F3C18"/>
    <w:rsid w:val="008F4ADB"/>
    <w:rsid w:val="00900FD6"/>
    <w:rsid w:val="00901297"/>
    <w:rsid w:val="00904852"/>
    <w:rsid w:val="009054DC"/>
    <w:rsid w:val="00913170"/>
    <w:rsid w:val="00913931"/>
    <w:rsid w:val="00917C0E"/>
    <w:rsid w:val="00922EE4"/>
    <w:rsid w:val="00924BC7"/>
    <w:rsid w:val="00924F54"/>
    <w:rsid w:val="00926FE3"/>
    <w:rsid w:val="00933AF9"/>
    <w:rsid w:val="0094186D"/>
    <w:rsid w:val="00943EFD"/>
    <w:rsid w:val="0094496A"/>
    <w:rsid w:val="009505D8"/>
    <w:rsid w:val="0095080B"/>
    <w:rsid w:val="009539D6"/>
    <w:rsid w:val="00954781"/>
    <w:rsid w:val="009557DC"/>
    <w:rsid w:val="00955C31"/>
    <w:rsid w:val="0095604D"/>
    <w:rsid w:val="0095661E"/>
    <w:rsid w:val="00957774"/>
    <w:rsid w:val="00961CEE"/>
    <w:rsid w:val="009633B6"/>
    <w:rsid w:val="00965958"/>
    <w:rsid w:val="00966CEA"/>
    <w:rsid w:val="00973704"/>
    <w:rsid w:val="009747AA"/>
    <w:rsid w:val="0097539D"/>
    <w:rsid w:val="00980196"/>
    <w:rsid w:val="009805C8"/>
    <w:rsid w:val="009810CC"/>
    <w:rsid w:val="00984F1E"/>
    <w:rsid w:val="00984FBE"/>
    <w:rsid w:val="00985407"/>
    <w:rsid w:val="009873DE"/>
    <w:rsid w:val="00987EF5"/>
    <w:rsid w:val="009954AB"/>
    <w:rsid w:val="00997952"/>
    <w:rsid w:val="009A047A"/>
    <w:rsid w:val="009A66AA"/>
    <w:rsid w:val="009A7387"/>
    <w:rsid w:val="009B2FB1"/>
    <w:rsid w:val="009B4CEE"/>
    <w:rsid w:val="009B4E1C"/>
    <w:rsid w:val="009C092B"/>
    <w:rsid w:val="009C5A66"/>
    <w:rsid w:val="009C5D7B"/>
    <w:rsid w:val="009C683C"/>
    <w:rsid w:val="009C757C"/>
    <w:rsid w:val="009D0E68"/>
    <w:rsid w:val="009D342A"/>
    <w:rsid w:val="009D6EF1"/>
    <w:rsid w:val="009E02E6"/>
    <w:rsid w:val="009E194E"/>
    <w:rsid w:val="009E2055"/>
    <w:rsid w:val="009E3B12"/>
    <w:rsid w:val="009E3C59"/>
    <w:rsid w:val="009E454A"/>
    <w:rsid w:val="009E7F8F"/>
    <w:rsid w:val="009F05B3"/>
    <w:rsid w:val="009F5F7E"/>
    <w:rsid w:val="009F7264"/>
    <w:rsid w:val="00A10DA0"/>
    <w:rsid w:val="00A10DC4"/>
    <w:rsid w:val="00A12B2E"/>
    <w:rsid w:val="00A12E66"/>
    <w:rsid w:val="00A20B0B"/>
    <w:rsid w:val="00A20CB9"/>
    <w:rsid w:val="00A22AE4"/>
    <w:rsid w:val="00A24735"/>
    <w:rsid w:val="00A317FE"/>
    <w:rsid w:val="00A318FF"/>
    <w:rsid w:val="00A31FC9"/>
    <w:rsid w:val="00A3286F"/>
    <w:rsid w:val="00A35F26"/>
    <w:rsid w:val="00A41C85"/>
    <w:rsid w:val="00A42C83"/>
    <w:rsid w:val="00A5193D"/>
    <w:rsid w:val="00A5210E"/>
    <w:rsid w:val="00A52D01"/>
    <w:rsid w:val="00A53A2E"/>
    <w:rsid w:val="00A5463D"/>
    <w:rsid w:val="00A54CB9"/>
    <w:rsid w:val="00A64B00"/>
    <w:rsid w:val="00A65720"/>
    <w:rsid w:val="00A71AED"/>
    <w:rsid w:val="00A740EA"/>
    <w:rsid w:val="00A77DCF"/>
    <w:rsid w:val="00A83B7E"/>
    <w:rsid w:val="00A83FF5"/>
    <w:rsid w:val="00A841D1"/>
    <w:rsid w:val="00A9436C"/>
    <w:rsid w:val="00A960BD"/>
    <w:rsid w:val="00A96CE3"/>
    <w:rsid w:val="00AA1D48"/>
    <w:rsid w:val="00AA3CA4"/>
    <w:rsid w:val="00AA3CD0"/>
    <w:rsid w:val="00AA4668"/>
    <w:rsid w:val="00AB1938"/>
    <w:rsid w:val="00AB1F1C"/>
    <w:rsid w:val="00AB4355"/>
    <w:rsid w:val="00AB54EE"/>
    <w:rsid w:val="00AB7C33"/>
    <w:rsid w:val="00AC2D45"/>
    <w:rsid w:val="00AC35DF"/>
    <w:rsid w:val="00AC4D67"/>
    <w:rsid w:val="00AD0D3C"/>
    <w:rsid w:val="00AD3238"/>
    <w:rsid w:val="00AD7020"/>
    <w:rsid w:val="00AD749E"/>
    <w:rsid w:val="00AE3B13"/>
    <w:rsid w:val="00AE4485"/>
    <w:rsid w:val="00AE620E"/>
    <w:rsid w:val="00AF1B6F"/>
    <w:rsid w:val="00AF41A5"/>
    <w:rsid w:val="00B008EF"/>
    <w:rsid w:val="00B0223F"/>
    <w:rsid w:val="00B03739"/>
    <w:rsid w:val="00B03DE7"/>
    <w:rsid w:val="00B06146"/>
    <w:rsid w:val="00B149EB"/>
    <w:rsid w:val="00B1767A"/>
    <w:rsid w:val="00B202E5"/>
    <w:rsid w:val="00B20A92"/>
    <w:rsid w:val="00B20C62"/>
    <w:rsid w:val="00B217ED"/>
    <w:rsid w:val="00B23BF4"/>
    <w:rsid w:val="00B2547F"/>
    <w:rsid w:val="00B400DA"/>
    <w:rsid w:val="00B4476B"/>
    <w:rsid w:val="00B50393"/>
    <w:rsid w:val="00B539B1"/>
    <w:rsid w:val="00B55353"/>
    <w:rsid w:val="00B56342"/>
    <w:rsid w:val="00B56A0E"/>
    <w:rsid w:val="00B61D0E"/>
    <w:rsid w:val="00B650FB"/>
    <w:rsid w:val="00B662DB"/>
    <w:rsid w:val="00B67D8E"/>
    <w:rsid w:val="00B706B9"/>
    <w:rsid w:val="00B713DF"/>
    <w:rsid w:val="00B74869"/>
    <w:rsid w:val="00B80D2C"/>
    <w:rsid w:val="00B82773"/>
    <w:rsid w:val="00B86908"/>
    <w:rsid w:val="00B87695"/>
    <w:rsid w:val="00B90086"/>
    <w:rsid w:val="00B9108F"/>
    <w:rsid w:val="00B937E6"/>
    <w:rsid w:val="00B95504"/>
    <w:rsid w:val="00B971A2"/>
    <w:rsid w:val="00BA3387"/>
    <w:rsid w:val="00BA37AB"/>
    <w:rsid w:val="00BC138F"/>
    <w:rsid w:val="00BD039F"/>
    <w:rsid w:val="00BD10F7"/>
    <w:rsid w:val="00BD37BF"/>
    <w:rsid w:val="00BE0E12"/>
    <w:rsid w:val="00BE11BF"/>
    <w:rsid w:val="00BE61A3"/>
    <w:rsid w:val="00BF1454"/>
    <w:rsid w:val="00C00F19"/>
    <w:rsid w:val="00C06126"/>
    <w:rsid w:val="00C0748E"/>
    <w:rsid w:val="00C07555"/>
    <w:rsid w:val="00C13E94"/>
    <w:rsid w:val="00C22D3E"/>
    <w:rsid w:val="00C2675A"/>
    <w:rsid w:val="00C269C7"/>
    <w:rsid w:val="00C278B3"/>
    <w:rsid w:val="00C30B0B"/>
    <w:rsid w:val="00C33D6E"/>
    <w:rsid w:val="00C3472F"/>
    <w:rsid w:val="00C3550D"/>
    <w:rsid w:val="00C3583C"/>
    <w:rsid w:val="00C36141"/>
    <w:rsid w:val="00C42171"/>
    <w:rsid w:val="00C42DC7"/>
    <w:rsid w:val="00C44807"/>
    <w:rsid w:val="00C559C4"/>
    <w:rsid w:val="00C57025"/>
    <w:rsid w:val="00C60330"/>
    <w:rsid w:val="00C62BFA"/>
    <w:rsid w:val="00C62F35"/>
    <w:rsid w:val="00C70942"/>
    <w:rsid w:val="00C70D0B"/>
    <w:rsid w:val="00C70F0E"/>
    <w:rsid w:val="00C7205A"/>
    <w:rsid w:val="00C733B1"/>
    <w:rsid w:val="00C76CC2"/>
    <w:rsid w:val="00C83D79"/>
    <w:rsid w:val="00C83DE6"/>
    <w:rsid w:val="00C84ADB"/>
    <w:rsid w:val="00C866D7"/>
    <w:rsid w:val="00C9004D"/>
    <w:rsid w:val="00C94115"/>
    <w:rsid w:val="00C95CDD"/>
    <w:rsid w:val="00C964C5"/>
    <w:rsid w:val="00CA4A61"/>
    <w:rsid w:val="00CA4A95"/>
    <w:rsid w:val="00CB58E8"/>
    <w:rsid w:val="00CE104B"/>
    <w:rsid w:val="00CE29E7"/>
    <w:rsid w:val="00CE3224"/>
    <w:rsid w:val="00CE7335"/>
    <w:rsid w:val="00CE74D6"/>
    <w:rsid w:val="00CF15F3"/>
    <w:rsid w:val="00CF34BE"/>
    <w:rsid w:val="00CF7615"/>
    <w:rsid w:val="00CF7DAD"/>
    <w:rsid w:val="00D033FF"/>
    <w:rsid w:val="00D03CAA"/>
    <w:rsid w:val="00D12BFF"/>
    <w:rsid w:val="00D131FE"/>
    <w:rsid w:val="00D23F9F"/>
    <w:rsid w:val="00D265F6"/>
    <w:rsid w:val="00D3268F"/>
    <w:rsid w:val="00D34CCA"/>
    <w:rsid w:val="00D34E38"/>
    <w:rsid w:val="00D36E12"/>
    <w:rsid w:val="00D36E51"/>
    <w:rsid w:val="00D4037F"/>
    <w:rsid w:val="00D42217"/>
    <w:rsid w:val="00D4699F"/>
    <w:rsid w:val="00D5156F"/>
    <w:rsid w:val="00D51B37"/>
    <w:rsid w:val="00D60042"/>
    <w:rsid w:val="00D600F9"/>
    <w:rsid w:val="00D622EE"/>
    <w:rsid w:val="00D62EFB"/>
    <w:rsid w:val="00D66A37"/>
    <w:rsid w:val="00D676AA"/>
    <w:rsid w:val="00D70EB4"/>
    <w:rsid w:val="00D73ECD"/>
    <w:rsid w:val="00D74FD1"/>
    <w:rsid w:val="00D750FF"/>
    <w:rsid w:val="00D767F2"/>
    <w:rsid w:val="00D80095"/>
    <w:rsid w:val="00D81C6F"/>
    <w:rsid w:val="00D845B3"/>
    <w:rsid w:val="00D902D3"/>
    <w:rsid w:val="00D95E4E"/>
    <w:rsid w:val="00DA4DBF"/>
    <w:rsid w:val="00DA6A7E"/>
    <w:rsid w:val="00DB1DAF"/>
    <w:rsid w:val="00DB6FC0"/>
    <w:rsid w:val="00DC109E"/>
    <w:rsid w:val="00DC5EC8"/>
    <w:rsid w:val="00DD2163"/>
    <w:rsid w:val="00DD2B11"/>
    <w:rsid w:val="00DD7C22"/>
    <w:rsid w:val="00DE1738"/>
    <w:rsid w:val="00DE234F"/>
    <w:rsid w:val="00DE3B44"/>
    <w:rsid w:val="00DE42FA"/>
    <w:rsid w:val="00DF2282"/>
    <w:rsid w:val="00E01798"/>
    <w:rsid w:val="00E03D49"/>
    <w:rsid w:val="00E04E7E"/>
    <w:rsid w:val="00E04EC5"/>
    <w:rsid w:val="00E07CAC"/>
    <w:rsid w:val="00E14E46"/>
    <w:rsid w:val="00E23FED"/>
    <w:rsid w:val="00E24803"/>
    <w:rsid w:val="00E24B74"/>
    <w:rsid w:val="00E27275"/>
    <w:rsid w:val="00E27704"/>
    <w:rsid w:val="00E31EC8"/>
    <w:rsid w:val="00E358ED"/>
    <w:rsid w:val="00E43611"/>
    <w:rsid w:val="00E44260"/>
    <w:rsid w:val="00E454CE"/>
    <w:rsid w:val="00E45833"/>
    <w:rsid w:val="00E50AFF"/>
    <w:rsid w:val="00E549FC"/>
    <w:rsid w:val="00E605D3"/>
    <w:rsid w:val="00E62DE8"/>
    <w:rsid w:val="00E63D17"/>
    <w:rsid w:val="00E65CF3"/>
    <w:rsid w:val="00E711D6"/>
    <w:rsid w:val="00E72F8A"/>
    <w:rsid w:val="00E7369F"/>
    <w:rsid w:val="00E75E77"/>
    <w:rsid w:val="00E761BB"/>
    <w:rsid w:val="00E767E3"/>
    <w:rsid w:val="00E80C57"/>
    <w:rsid w:val="00E8114D"/>
    <w:rsid w:val="00E930E9"/>
    <w:rsid w:val="00E94F2E"/>
    <w:rsid w:val="00EA0BD7"/>
    <w:rsid w:val="00EA2AA3"/>
    <w:rsid w:val="00EA2F51"/>
    <w:rsid w:val="00EA434F"/>
    <w:rsid w:val="00EB25E2"/>
    <w:rsid w:val="00EB4309"/>
    <w:rsid w:val="00EC1FBB"/>
    <w:rsid w:val="00ED1BF6"/>
    <w:rsid w:val="00ED3664"/>
    <w:rsid w:val="00ED3FA3"/>
    <w:rsid w:val="00ED42B7"/>
    <w:rsid w:val="00ED544E"/>
    <w:rsid w:val="00ED5F26"/>
    <w:rsid w:val="00EE1ABB"/>
    <w:rsid w:val="00EF5A28"/>
    <w:rsid w:val="00F01273"/>
    <w:rsid w:val="00F03D11"/>
    <w:rsid w:val="00F077B5"/>
    <w:rsid w:val="00F1105B"/>
    <w:rsid w:val="00F1147C"/>
    <w:rsid w:val="00F123E0"/>
    <w:rsid w:val="00F1545D"/>
    <w:rsid w:val="00F229E6"/>
    <w:rsid w:val="00F2344E"/>
    <w:rsid w:val="00F3159C"/>
    <w:rsid w:val="00F3185E"/>
    <w:rsid w:val="00F35ACF"/>
    <w:rsid w:val="00F36249"/>
    <w:rsid w:val="00F37109"/>
    <w:rsid w:val="00F45661"/>
    <w:rsid w:val="00F46481"/>
    <w:rsid w:val="00F468FA"/>
    <w:rsid w:val="00F5345C"/>
    <w:rsid w:val="00F53E3F"/>
    <w:rsid w:val="00F54D35"/>
    <w:rsid w:val="00F57DB1"/>
    <w:rsid w:val="00F612CF"/>
    <w:rsid w:val="00F64346"/>
    <w:rsid w:val="00F646EA"/>
    <w:rsid w:val="00F85E4A"/>
    <w:rsid w:val="00F9049E"/>
    <w:rsid w:val="00FA570D"/>
    <w:rsid w:val="00FA66A9"/>
    <w:rsid w:val="00FA7BD0"/>
    <w:rsid w:val="00FA7CEB"/>
    <w:rsid w:val="00FB2944"/>
    <w:rsid w:val="00FB4FF0"/>
    <w:rsid w:val="00FC6535"/>
    <w:rsid w:val="00FD1CF3"/>
    <w:rsid w:val="00FD2347"/>
    <w:rsid w:val="00FD38D3"/>
    <w:rsid w:val="00FD502E"/>
    <w:rsid w:val="00FD5320"/>
    <w:rsid w:val="00FD68E2"/>
    <w:rsid w:val="00FE2CA0"/>
    <w:rsid w:val="00FE6B3F"/>
    <w:rsid w:val="00FF26EA"/>
    <w:rsid w:val="00FF2D8D"/>
    <w:rsid w:val="00FF4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ED4B3"/>
  <w15:docId w15:val="{911A9F3A-07D7-41D7-97FE-FCEDFFD5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711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9505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505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0C7688"/>
    <w:pPr>
      <w:keepNext/>
      <w:widowControl w:val="0"/>
      <w:spacing w:after="540" w:line="240" w:lineRule="auto"/>
      <w:ind w:left="116"/>
      <w:jc w:val="both"/>
      <w:outlineLvl w:val="3"/>
    </w:pPr>
    <w:rPr>
      <w:rFonts w:ascii="Arial" w:eastAsia="Times New Roman" w:hAnsi="Arial" w:cs="Times New Roman"/>
      <w:b/>
      <w:spacing w:val="15"/>
      <w:sz w:val="28"/>
      <w:szCs w:val="24"/>
    </w:rPr>
  </w:style>
  <w:style w:type="paragraph" w:styleId="Heading5">
    <w:name w:val="heading 5"/>
    <w:basedOn w:val="Normal"/>
    <w:next w:val="Normal"/>
    <w:link w:val="Heading5Char"/>
    <w:qFormat/>
    <w:rsid w:val="000C7688"/>
    <w:pPr>
      <w:keepNext/>
      <w:pBdr>
        <w:top w:val="single" w:sz="4" w:space="1" w:color="auto"/>
        <w:left w:val="single" w:sz="4" w:space="4" w:color="auto"/>
        <w:bottom w:val="single" w:sz="4" w:space="1" w:color="auto"/>
        <w:right w:val="single" w:sz="4" w:space="4" w:color="auto"/>
      </w:pBdr>
      <w:spacing w:before="120" w:after="120" w:line="240" w:lineRule="auto"/>
      <w:jc w:val="center"/>
      <w:outlineLvl w:val="4"/>
    </w:pPr>
    <w:rPr>
      <w:rFonts w:ascii="Arial" w:eastAsia="Times New Roman" w:hAnsi="Arial"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11D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E711D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11D6"/>
    <w:pPr>
      <w:outlineLvl w:val="9"/>
    </w:pPr>
  </w:style>
  <w:style w:type="paragraph" w:styleId="TOC1">
    <w:name w:val="toc 1"/>
    <w:basedOn w:val="Normal"/>
    <w:next w:val="Normal"/>
    <w:autoRedefine/>
    <w:uiPriority w:val="39"/>
    <w:unhideWhenUsed/>
    <w:rsid w:val="00733B15"/>
    <w:pPr>
      <w:spacing w:after="100"/>
    </w:pPr>
  </w:style>
  <w:style w:type="character" w:styleId="Hyperlink">
    <w:name w:val="Hyperlink"/>
    <w:basedOn w:val="DefaultParagraphFont"/>
    <w:uiPriority w:val="99"/>
    <w:unhideWhenUsed/>
    <w:rsid w:val="00733B15"/>
    <w:rPr>
      <w:color w:val="0563C1" w:themeColor="hyperlink"/>
      <w:u w:val="single"/>
    </w:rPr>
  </w:style>
  <w:style w:type="paragraph" w:styleId="Header">
    <w:name w:val="header"/>
    <w:basedOn w:val="Normal"/>
    <w:link w:val="HeaderChar"/>
    <w:unhideWhenUsed/>
    <w:rsid w:val="00561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586"/>
  </w:style>
  <w:style w:type="paragraph" w:styleId="Footer">
    <w:name w:val="footer"/>
    <w:basedOn w:val="Normal"/>
    <w:link w:val="FooterChar"/>
    <w:uiPriority w:val="99"/>
    <w:unhideWhenUsed/>
    <w:rsid w:val="00561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586"/>
  </w:style>
  <w:style w:type="paragraph" w:styleId="ListParagraph">
    <w:name w:val="List Paragraph"/>
    <w:aliases w:val="references"/>
    <w:basedOn w:val="Normal"/>
    <w:link w:val="ListParagraphChar"/>
    <w:uiPriority w:val="34"/>
    <w:qFormat/>
    <w:rsid w:val="004A6E92"/>
    <w:pPr>
      <w:ind w:left="720"/>
      <w:contextualSpacing/>
    </w:pPr>
  </w:style>
  <w:style w:type="paragraph" w:customStyle="1" w:styleId="FreeFormA">
    <w:name w:val="Free Form A"/>
    <w:rsid w:val="00B80D2C"/>
    <w:pPr>
      <w:spacing w:after="0" w:line="240" w:lineRule="auto"/>
    </w:pPr>
    <w:rPr>
      <w:rFonts w:ascii="Times New Roman" w:eastAsia="ヒラギノ角ゴ Pro W3" w:hAnsi="Times New Roman" w:cs="Times New Roman"/>
      <w:color w:val="000000"/>
      <w:sz w:val="20"/>
      <w:szCs w:val="20"/>
    </w:rPr>
  </w:style>
  <w:style w:type="table" w:styleId="TableGrid">
    <w:name w:val="Table Grid"/>
    <w:basedOn w:val="TableNormal"/>
    <w:rsid w:val="000A5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E0FC4"/>
    <w:pPr>
      <w:spacing w:after="0" w:line="240" w:lineRule="auto"/>
    </w:pPr>
    <w:rPr>
      <w:rFonts w:eastAsiaTheme="minorEastAsia"/>
    </w:rPr>
  </w:style>
  <w:style w:type="character" w:customStyle="1" w:styleId="NoSpacingChar">
    <w:name w:val="No Spacing Char"/>
    <w:basedOn w:val="DefaultParagraphFont"/>
    <w:link w:val="NoSpacing"/>
    <w:uiPriority w:val="1"/>
    <w:rsid w:val="002E0FC4"/>
    <w:rPr>
      <w:rFonts w:eastAsiaTheme="minorEastAsia"/>
    </w:rPr>
  </w:style>
  <w:style w:type="paragraph" w:styleId="FootnoteText">
    <w:name w:val="footnote text"/>
    <w:basedOn w:val="Normal"/>
    <w:link w:val="FootnoteTextChar"/>
    <w:uiPriority w:val="99"/>
    <w:unhideWhenUsed/>
    <w:rsid w:val="0076723E"/>
    <w:pPr>
      <w:spacing w:after="0" w:line="240" w:lineRule="auto"/>
    </w:pPr>
    <w:rPr>
      <w:sz w:val="20"/>
      <w:szCs w:val="20"/>
    </w:rPr>
  </w:style>
  <w:style w:type="character" w:customStyle="1" w:styleId="FootnoteTextChar">
    <w:name w:val="Footnote Text Char"/>
    <w:basedOn w:val="DefaultParagraphFont"/>
    <w:link w:val="FootnoteText"/>
    <w:uiPriority w:val="99"/>
    <w:rsid w:val="0076723E"/>
    <w:rPr>
      <w:sz w:val="20"/>
      <w:szCs w:val="20"/>
    </w:rPr>
  </w:style>
  <w:style w:type="character" w:styleId="FootnoteReference">
    <w:name w:val="footnote reference"/>
    <w:aliases w:val="ftref"/>
    <w:basedOn w:val="DefaultParagraphFont"/>
    <w:uiPriority w:val="99"/>
    <w:semiHidden/>
    <w:unhideWhenUsed/>
    <w:rsid w:val="0076723E"/>
    <w:rPr>
      <w:vertAlign w:val="superscript"/>
    </w:rPr>
  </w:style>
  <w:style w:type="paragraph" w:customStyle="1" w:styleId="Norway3">
    <w:name w:val="Norway3"/>
    <w:basedOn w:val="Normal"/>
    <w:qFormat/>
    <w:rsid w:val="00BE0E12"/>
    <w:pPr>
      <w:spacing w:before="40" w:after="120" w:line="240" w:lineRule="auto"/>
    </w:pPr>
    <w:rPr>
      <w:rFonts w:eastAsia="Times New Roman" w:cs="Times New Roman"/>
      <w:b/>
      <w:sz w:val="24"/>
      <w:szCs w:val="24"/>
    </w:rPr>
  </w:style>
  <w:style w:type="character" w:customStyle="1" w:styleId="ListParagraphChar">
    <w:name w:val="List Paragraph Char"/>
    <w:aliases w:val="references Char"/>
    <w:link w:val="ListParagraph"/>
    <w:uiPriority w:val="34"/>
    <w:locked/>
    <w:rsid w:val="007B5556"/>
  </w:style>
  <w:style w:type="paragraph" w:customStyle="1" w:styleId="Norway1">
    <w:name w:val="Norway 1"/>
    <w:basedOn w:val="Heading1"/>
    <w:qFormat/>
    <w:rsid w:val="000865E0"/>
    <w:pPr>
      <w:spacing w:before="0"/>
    </w:pPr>
    <w:rPr>
      <w:rFonts w:asciiTheme="minorHAnsi" w:hAnsiTheme="minorHAnsi"/>
      <w:b/>
      <w:color w:val="auto"/>
      <w:sz w:val="24"/>
      <w:szCs w:val="24"/>
    </w:rPr>
  </w:style>
  <w:style w:type="paragraph" w:customStyle="1" w:styleId="Norway2">
    <w:name w:val="Norway 2"/>
    <w:basedOn w:val="Heading1"/>
    <w:qFormat/>
    <w:rsid w:val="000865E0"/>
    <w:pPr>
      <w:numPr>
        <w:numId w:val="1"/>
      </w:numPr>
      <w:spacing w:before="0"/>
    </w:pPr>
    <w:rPr>
      <w:rFonts w:asciiTheme="minorHAnsi" w:hAnsiTheme="minorHAnsi"/>
      <w:b/>
      <w:color w:val="auto"/>
      <w:sz w:val="24"/>
      <w:szCs w:val="24"/>
    </w:rPr>
  </w:style>
  <w:style w:type="character" w:customStyle="1" w:styleId="Heading2Char">
    <w:name w:val="Heading 2 Char"/>
    <w:basedOn w:val="DefaultParagraphFont"/>
    <w:link w:val="Heading2"/>
    <w:uiPriority w:val="9"/>
    <w:semiHidden/>
    <w:rsid w:val="009505D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505D8"/>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9505D8"/>
    <w:pPr>
      <w:spacing w:after="100"/>
      <w:ind w:left="220"/>
    </w:pPr>
  </w:style>
  <w:style w:type="character" w:styleId="CommentReference">
    <w:name w:val="annotation reference"/>
    <w:basedOn w:val="DefaultParagraphFont"/>
    <w:semiHidden/>
    <w:unhideWhenUsed/>
    <w:rsid w:val="00856C21"/>
    <w:rPr>
      <w:sz w:val="16"/>
      <w:szCs w:val="16"/>
    </w:rPr>
  </w:style>
  <w:style w:type="paragraph" w:styleId="CommentText">
    <w:name w:val="annotation text"/>
    <w:basedOn w:val="Normal"/>
    <w:link w:val="CommentTextChar"/>
    <w:semiHidden/>
    <w:unhideWhenUsed/>
    <w:rsid w:val="00856C21"/>
    <w:pPr>
      <w:spacing w:line="240" w:lineRule="auto"/>
    </w:pPr>
    <w:rPr>
      <w:sz w:val="20"/>
      <w:szCs w:val="20"/>
    </w:rPr>
  </w:style>
  <w:style w:type="character" w:customStyle="1" w:styleId="CommentTextChar">
    <w:name w:val="Comment Text Char"/>
    <w:basedOn w:val="DefaultParagraphFont"/>
    <w:link w:val="CommentText"/>
    <w:semiHidden/>
    <w:rsid w:val="00856C21"/>
    <w:rPr>
      <w:sz w:val="20"/>
      <w:szCs w:val="20"/>
    </w:rPr>
  </w:style>
  <w:style w:type="paragraph" w:styleId="BalloonText">
    <w:name w:val="Balloon Text"/>
    <w:basedOn w:val="Normal"/>
    <w:link w:val="BalloonTextChar"/>
    <w:semiHidden/>
    <w:unhideWhenUsed/>
    <w:rsid w:val="00856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C21"/>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AA1D48"/>
    <w:rPr>
      <w:b/>
      <w:bCs/>
    </w:rPr>
  </w:style>
  <w:style w:type="character" w:customStyle="1" w:styleId="CommentSubjectChar">
    <w:name w:val="Comment Subject Char"/>
    <w:basedOn w:val="CommentTextChar"/>
    <w:link w:val="CommentSubject"/>
    <w:uiPriority w:val="99"/>
    <w:semiHidden/>
    <w:rsid w:val="00AA1D48"/>
    <w:rPr>
      <w:b/>
      <w:bCs/>
      <w:sz w:val="20"/>
      <w:szCs w:val="20"/>
    </w:rPr>
  </w:style>
  <w:style w:type="character" w:customStyle="1" w:styleId="Heading4Char">
    <w:name w:val="Heading 4 Char"/>
    <w:basedOn w:val="DefaultParagraphFont"/>
    <w:link w:val="Heading4"/>
    <w:rsid w:val="000C7688"/>
    <w:rPr>
      <w:rFonts w:ascii="Arial" w:eastAsia="Times New Roman" w:hAnsi="Arial" w:cs="Times New Roman"/>
      <w:b/>
      <w:spacing w:val="15"/>
      <w:sz w:val="28"/>
      <w:szCs w:val="24"/>
    </w:rPr>
  </w:style>
  <w:style w:type="character" w:customStyle="1" w:styleId="Heading5Char">
    <w:name w:val="Heading 5 Char"/>
    <w:basedOn w:val="DefaultParagraphFont"/>
    <w:link w:val="Heading5"/>
    <w:rsid w:val="000C7688"/>
    <w:rPr>
      <w:rFonts w:ascii="Arial" w:eastAsia="Times New Roman" w:hAnsi="Arial" w:cs="Times New Roman"/>
      <w:b/>
      <w:bCs/>
      <w:sz w:val="24"/>
      <w:szCs w:val="24"/>
      <w:lang w:val="en-GB"/>
    </w:rPr>
  </w:style>
  <w:style w:type="character" w:styleId="PageNumber">
    <w:name w:val="page number"/>
    <w:basedOn w:val="DefaultParagraphFont"/>
    <w:rsid w:val="000C7688"/>
  </w:style>
  <w:style w:type="paragraph" w:styleId="BodyText3">
    <w:name w:val="Body Text 3"/>
    <w:basedOn w:val="Normal"/>
    <w:link w:val="BodyText3Char"/>
    <w:rsid w:val="000C7688"/>
    <w:pPr>
      <w:spacing w:after="60" w:line="240" w:lineRule="auto"/>
      <w:jc w:val="both"/>
    </w:pPr>
    <w:rPr>
      <w:rFonts w:ascii="Arial" w:eastAsia="Times New Roman" w:hAnsi="Arial" w:cs="Times New Roman"/>
      <w:szCs w:val="20"/>
    </w:rPr>
  </w:style>
  <w:style w:type="character" w:customStyle="1" w:styleId="BodyText3Char">
    <w:name w:val="Body Text 3 Char"/>
    <w:basedOn w:val="DefaultParagraphFont"/>
    <w:link w:val="BodyText3"/>
    <w:rsid w:val="000C7688"/>
    <w:rPr>
      <w:rFonts w:ascii="Arial" w:eastAsia="Times New Roman" w:hAnsi="Arial" w:cs="Times New Roman"/>
      <w:szCs w:val="20"/>
    </w:rPr>
  </w:style>
  <w:style w:type="paragraph" w:styleId="BodyTextIndent">
    <w:name w:val="Body Text Indent"/>
    <w:basedOn w:val="Normal"/>
    <w:link w:val="BodyTextIndentChar"/>
    <w:rsid w:val="000C7688"/>
    <w:pPr>
      <w:tabs>
        <w:tab w:val="left" w:pos="360"/>
      </w:tabs>
      <w:spacing w:after="60" w:line="240" w:lineRule="auto"/>
      <w:jc w:val="both"/>
    </w:pPr>
    <w:rPr>
      <w:rFonts w:ascii="Arial" w:eastAsia="Times New Roman" w:hAnsi="Arial" w:cs="Times New Roman"/>
      <w:b/>
      <w:i/>
      <w:sz w:val="28"/>
      <w:szCs w:val="20"/>
    </w:rPr>
  </w:style>
  <w:style w:type="character" w:customStyle="1" w:styleId="BodyTextIndentChar">
    <w:name w:val="Body Text Indent Char"/>
    <w:basedOn w:val="DefaultParagraphFont"/>
    <w:link w:val="BodyTextIndent"/>
    <w:rsid w:val="000C7688"/>
    <w:rPr>
      <w:rFonts w:ascii="Arial" w:eastAsia="Times New Roman" w:hAnsi="Arial" w:cs="Times New Roman"/>
      <w:b/>
      <w:i/>
      <w:sz w:val="28"/>
      <w:szCs w:val="20"/>
    </w:rPr>
  </w:style>
  <w:style w:type="character" w:styleId="FollowedHyperlink">
    <w:name w:val="FollowedHyperlink"/>
    <w:rsid w:val="000C7688"/>
    <w:rPr>
      <w:color w:val="800080"/>
      <w:u w:val="single"/>
    </w:rPr>
  </w:style>
  <w:style w:type="paragraph" w:styleId="BodyText">
    <w:name w:val="Body Text"/>
    <w:basedOn w:val="Normal"/>
    <w:link w:val="BodyTextChar"/>
    <w:rsid w:val="000C7688"/>
    <w:pPr>
      <w:pBdr>
        <w:bottom w:val="single" w:sz="4" w:space="1" w:color="auto"/>
      </w:pBdr>
      <w:spacing w:after="60" w:line="240" w:lineRule="auto"/>
      <w:jc w:val="both"/>
    </w:pPr>
    <w:rPr>
      <w:rFonts w:ascii="Arial Narrow" w:eastAsia="Times New Roman" w:hAnsi="Arial Narrow" w:cs="Times New Roman"/>
      <w:i/>
      <w:iCs/>
      <w:szCs w:val="24"/>
      <w:lang w:val="en-GB"/>
    </w:rPr>
  </w:style>
  <w:style w:type="character" w:customStyle="1" w:styleId="BodyTextChar">
    <w:name w:val="Body Text Char"/>
    <w:basedOn w:val="DefaultParagraphFont"/>
    <w:link w:val="BodyText"/>
    <w:rsid w:val="000C7688"/>
    <w:rPr>
      <w:rFonts w:ascii="Arial Narrow" w:eastAsia="Times New Roman" w:hAnsi="Arial Narrow" w:cs="Times New Roman"/>
      <w:i/>
      <w:iCs/>
      <w:szCs w:val="24"/>
      <w:lang w:val="en-GB"/>
    </w:rPr>
  </w:style>
  <w:style w:type="paragraph" w:styleId="BodyText2">
    <w:name w:val="Body Text 2"/>
    <w:basedOn w:val="Normal"/>
    <w:link w:val="BodyText2Char"/>
    <w:rsid w:val="000C7688"/>
    <w:pPr>
      <w:spacing w:before="120" w:after="120" w:line="240" w:lineRule="auto"/>
      <w:jc w:val="both"/>
    </w:pPr>
    <w:rPr>
      <w:rFonts w:ascii="Arial Narrow" w:eastAsia="Times New Roman" w:hAnsi="Arial Narrow" w:cs="Times New Roman"/>
      <w:szCs w:val="24"/>
      <w:lang w:val="en-GB"/>
    </w:rPr>
  </w:style>
  <w:style w:type="character" w:customStyle="1" w:styleId="BodyText2Char">
    <w:name w:val="Body Text 2 Char"/>
    <w:basedOn w:val="DefaultParagraphFont"/>
    <w:link w:val="BodyText2"/>
    <w:rsid w:val="000C7688"/>
    <w:rPr>
      <w:rFonts w:ascii="Arial Narrow" w:eastAsia="Times New Roman" w:hAnsi="Arial Narrow" w:cs="Times New Roman"/>
      <w:szCs w:val="24"/>
      <w:lang w:val="en-GB"/>
    </w:rPr>
  </w:style>
  <w:style w:type="paragraph" w:styleId="NormalWeb">
    <w:name w:val="Normal (Web)"/>
    <w:basedOn w:val="Normal"/>
    <w:rsid w:val="000C7688"/>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Emphasis">
    <w:name w:val="Emphasis"/>
    <w:qFormat/>
    <w:rsid w:val="000C7688"/>
    <w:rPr>
      <w:i/>
      <w:iCs/>
    </w:rPr>
  </w:style>
  <w:style w:type="paragraph" w:customStyle="1" w:styleId="Char">
    <w:name w:val="Char"/>
    <w:basedOn w:val="Heading2"/>
    <w:rsid w:val="000C7688"/>
    <w:pPr>
      <w:keepLines w:val="0"/>
      <w:pageBreakBefore/>
      <w:tabs>
        <w:tab w:val="left" w:pos="850"/>
        <w:tab w:val="left" w:pos="1191"/>
        <w:tab w:val="left" w:pos="1531"/>
      </w:tabs>
      <w:spacing w:before="0" w:after="60" w:line="240" w:lineRule="auto"/>
      <w:jc w:val="center"/>
    </w:pPr>
    <w:rPr>
      <w:rFonts w:ascii="Tahoma" w:eastAsia="Times New Roman" w:hAnsi="Tahoma" w:cs="Tahoma"/>
      <w:b/>
      <w:color w:val="FFFFFF"/>
      <w:spacing w:val="20"/>
      <w:sz w:val="22"/>
      <w:szCs w:val="22"/>
      <w:lang w:val="en-GB" w:eastAsia="zh-CN"/>
    </w:rPr>
  </w:style>
  <w:style w:type="paragraph" w:styleId="Title">
    <w:name w:val="Title"/>
    <w:basedOn w:val="Normal"/>
    <w:link w:val="TitleChar"/>
    <w:qFormat/>
    <w:rsid w:val="000C7688"/>
    <w:pPr>
      <w:pBdr>
        <w:top w:val="single" w:sz="4" w:space="1" w:color="auto"/>
        <w:left w:val="single" w:sz="4" w:space="4" w:color="auto"/>
        <w:bottom w:val="single" w:sz="4" w:space="1" w:color="auto"/>
        <w:right w:val="single" w:sz="4" w:space="4" w:color="auto"/>
      </w:pBdr>
      <w:spacing w:before="240" w:after="60" w:line="240" w:lineRule="auto"/>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0C7688"/>
    <w:rPr>
      <w:rFonts w:ascii="Arial" w:eastAsia="Times New Roman" w:hAnsi="Arial" w:cs="Arial"/>
      <w:b/>
      <w:bCs/>
      <w:kern w:val="28"/>
      <w:sz w:val="32"/>
      <w:szCs w:val="32"/>
      <w:lang w:val="en-GB"/>
    </w:rPr>
  </w:style>
  <w:style w:type="paragraph" w:customStyle="1" w:styleId="CharCharChar1">
    <w:name w:val="Char Char Char1"/>
    <w:basedOn w:val="Normal"/>
    <w:rsid w:val="000C7688"/>
    <w:pPr>
      <w:spacing w:line="240" w:lineRule="exact"/>
    </w:pPr>
    <w:rPr>
      <w:rFonts w:ascii="Arial" w:eastAsia="Times New Roman" w:hAnsi="Arial" w:cs="Arial"/>
      <w:sz w:val="20"/>
      <w:szCs w:val="20"/>
    </w:rPr>
  </w:style>
  <w:style w:type="character" w:customStyle="1" w:styleId="A12">
    <w:name w:val="A12"/>
    <w:uiPriority w:val="99"/>
    <w:rsid w:val="00117FC3"/>
    <w:rPr>
      <w:rFonts w:cs="Adobe Garamond Pro"/>
      <w:color w:val="000000"/>
      <w:sz w:val="11"/>
      <w:szCs w:val="11"/>
    </w:rPr>
  </w:style>
  <w:style w:type="table" w:customStyle="1" w:styleId="GridTable1Light-Accent61">
    <w:name w:val="Grid Table 1 Light - Accent 61"/>
    <w:basedOn w:val="TableNormal"/>
    <w:uiPriority w:val="46"/>
    <w:rsid w:val="005D523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D523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7520">
      <w:bodyDiv w:val="1"/>
      <w:marLeft w:val="0"/>
      <w:marRight w:val="0"/>
      <w:marTop w:val="0"/>
      <w:marBottom w:val="0"/>
      <w:divBdr>
        <w:top w:val="none" w:sz="0" w:space="0" w:color="auto"/>
        <w:left w:val="none" w:sz="0" w:space="0" w:color="auto"/>
        <w:bottom w:val="none" w:sz="0" w:space="0" w:color="auto"/>
        <w:right w:val="none" w:sz="0" w:space="0" w:color="auto"/>
      </w:divBdr>
    </w:div>
    <w:div w:id="21319770">
      <w:bodyDiv w:val="1"/>
      <w:marLeft w:val="0"/>
      <w:marRight w:val="0"/>
      <w:marTop w:val="0"/>
      <w:marBottom w:val="0"/>
      <w:divBdr>
        <w:top w:val="none" w:sz="0" w:space="0" w:color="auto"/>
        <w:left w:val="none" w:sz="0" w:space="0" w:color="auto"/>
        <w:bottom w:val="none" w:sz="0" w:space="0" w:color="auto"/>
        <w:right w:val="none" w:sz="0" w:space="0" w:color="auto"/>
      </w:divBdr>
    </w:div>
    <w:div w:id="155073189">
      <w:bodyDiv w:val="1"/>
      <w:marLeft w:val="0"/>
      <w:marRight w:val="0"/>
      <w:marTop w:val="0"/>
      <w:marBottom w:val="0"/>
      <w:divBdr>
        <w:top w:val="none" w:sz="0" w:space="0" w:color="auto"/>
        <w:left w:val="none" w:sz="0" w:space="0" w:color="auto"/>
        <w:bottom w:val="none" w:sz="0" w:space="0" w:color="auto"/>
        <w:right w:val="none" w:sz="0" w:space="0" w:color="auto"/>
      </w:divBdr>
    </w:div>
    <w:div w:id="212543146">
      <w:bodyDiv w:val="1"/>
      <w:marLeft w:val="0"/>
      <w:marRight w:val="0"/>
      <w:marTop w:val="0"/>
      <w:marBottom w:val="0"/>
      <w:divBdr>
        <w:top w:val="none" w:sz="0" w:space="0" w:color="auto"/>
        <w:left w:val="none" w:sz="0" w:space="0" w:color="auto"/>
        <w:bottom w:val="none" w:sz="0" w:space="0" w:color="auto"/>
        <w:right w:val="none" w:sz="0" w:space="0" w:color="auto"/>
      </w:divBdr>
    </w:div>
    <w:div w:id="242883478">
      <w:bodyDiv w:val="1"/>
      <w:marLeft w:val="0"/>
      <w:marRight w:val="0"/>
      <w:marTop w:val="0"/>
      <w:marBottom w:val="0"/>
      <w:divBdr>
        <w:top w:val="none" w:sz="0" w:space="0" w:color="auto"/>
        <w:left w:val="none" w:sz="0" w:space="0" w:color="auto"/>
        <w:bottom w:val="none" w:sz="0" w:space="0" w:color="auto"/>
        <w:right w:val="none" w:sz="0" w:space="0" w:color="auto"/>
      </w:divBdr>
    </w:div>
    <w:div w:id="269823785">
      <w:bodyDiv w:val="1"/>
      <w:marLeft w:val="0"/>
      <w:marRight w:val="0"/>
      <w:marTop w:val="0"/>
      <w:marBottom w:val="0"/>
      <w:divBdr>
        <w:top w:val="none" w:sz="0" w:space="0" w:color="auto"/>
        <w:left w:val="none" w:sz="0" w:space="0" w:color="auto"/>
        <w:bottom w:val="none" w:sz="0" w:space="0" w:color="auto"/>
        <w:right w:val="none" w:sz="0" w:space="0" w:color="auto"/>
      </w:divBdr>
    </w:div>
    <w:div w:id="312026720">
      <w:bodyDiv w:val="1"/>
      <w:marLeft w:val="0"/>
      <w:marRight w:val="0"/>
      <w:marTop w:val="0"/>
      <w:marBottom w:val="0"/>
      <w:divBdr>
        <w:top w:val="none" w:sz="0" w:space="0" w:color="auto"/>
        <w:left w:val="none" w:sz="0" w:space="0" w:color="auto"/>
        <w:bottom w:val="none" w:sz="0" w:space="0" w:color="auto"/>
        <w:right w:val="none" w:sz="0" w:space="0" w:color="auto"/>
      </w:divBdr>
    </w:div>
    <w:div w:id="356468812">
      <w:bodyDiv w:val="1"/>
      <w:marLeft w:val="0"/>
      <w:marRight w:val="0"/>
      <w:marTop w:val="0"/>
      <w:marBottom w:val="0"/>
      <w:divBdr>
        <w:top w:val="none" w:sz="0" w:space="0" w:color="auto"/>
        <w:left w:val="none" w:sz="0" w:space="0" w:color="auto"/>
        <w:bottom w:val="none" w:sz="0" w:space="0" w:color="auto"/>
        <w:right w:val="none" w:sz="0" w:space="0" w:color="auto"/>
      </w:divBdr>
      <w:divsChild>
        <w:div w:id="41829486">
          <w:marLeft w:val="547"/>
          <w:marRight w:val="0"/>
          <w:marTop w:val="120"/>
          <w:marBottom w:val="120"/>
          <w:divBdr>
            <w:top w:val="none" w:sz="0" w:space="0" w:color="auto"/>
            <w:left w:val="none" w:sz="0" w:space="0" w:color="auto"/>
            <w:bottom w:val="none" w:sz="0" w:space="0" w:color="auto"/>
            <w:right w:val="none" w:sz="0" w:space="0" w:color="auto"/>
          </w:divBdr>
        </w:div>
        <w:div w:id="501362659">
          <w:marLeft w:val="547"/>
          <w:marRight w:val="0"/>
          <w:marTop w:val="120"/>
          <w:marBottom w:val="120"/>
          <w:divBdr>
            <w:top w:val="none" w:sz="0" w:space="0" w:color="auto"/>
            <w:left w:val="none" w:sz="0" w:space="0" w:color="auto"/>
            <w:bottom w:val="none" w:sz="0" w:space="0" w:color="auto"/>
            <w:right w:val="none" w:sz="0" w:space="0" w:color="auto"/>
          </w:divBdr>
        </w:div>
        <w:div w:id="1569221412">
          <w:marLeft w:val="547"/>
          <w:marRight w:val="0"/>
          <w:marTop w:val="120"/>
          <w:marBottom w:val="120"/>
          <w:divBdr>
            <w:top w:val="none" w:sz="0" w:space="0" w:color="auto"/>
            <w:left w:val="none" w:sz="0" w:space="0" w:color="auto"/>
            <w:bottom w:val="none" w:sz="0" w:space="0" w:color="auto"/>
            <w:right w:val="none" w:sz="0" w:space="0" w:color="auto"/>
          </w:divBdr>
        </w:div>
        <w:div w:id="1204825235">
          <w:marLeft w:val="547"/>
          <w:marRight w:val="0"/>
          <w:marTop w:val="120"/>
          <w:marBottom w:val="120"/>
          <w:divBdr>
            <w:top w:val="none" w:sz="0" w:space="0" w:color="auto"/>
            <w:left w:val="none" w:sz="0" w:space="0" w:color="auto"/>
            <w:bottom w:val="none" w:sz="0" w:space="0" w:color="auto"/>
            <w:right w:val="none" w:sz="0" w:space="0" w:color="auto"/>
          </w:divBdr>
        </w:div>
        <w:div w:id="1489983084">
          <w:marLeft w:val="547"/>
          <w:marRight w:val="0"/>
          <w:marTop w:val="120"/>
          <w:marBottom w:val="120"/>
          <w:divBdr>
            <w:top w:val="none" w:sz="0" w:space="0" w:color="auto"/>
            <w:left w:val="none" w:sz="0" w:space="0" w:color="auto"/>
            <w:bottom w:val="none" w:sz="0" w:space="0" w:color="auto"/>
            <w:right w:val="none" w:sz="0" w:space="0" w:color="auto"/>
          </w:divBdr>
        </w:div>
      </w:divsChild>
    </w:div>
    <w:div w:id="496000373">
      <w:bodyDiv w:val="1"/>
      <w:marLeft w:val="0"/>
      <w:marRight w:val="0"/>
      <w:marTop w:val="0"/>
      <w:marBottom w:val="0"/>
      <w:divBdr>
        <w:top w:val="none" w:sz="0" w:space="0" w:color="auto"/>
        <w:left w:val="none" w:sz="0" w:space="0" w:color="auto"/>
        <w:bottom w:val="none" w:sz="0" w:space="0" w:color="auto"/>
        <w:right w:val="none" w:sz="0" w:space="0" w:color="auto"/>
      </w:divBdr>
    </w:div>
    <w:div w:id="532617820">
      <w:bodyDiv w:val="1"/>
      <w:marLeft w:val="0"/>
      <w:marRight w:val="0"/>
      <w:marTop w:val="0"/>
      <w:marBottom w:val="0"/>
      <w:divBdr>
        <w:top w:val="none" w:sz="0" w:space="0" w:color="auto"/>
        <w:left w:val="none" w:sz="0" w:space="0" w:color="auto"/>
        <w:bottom w:val="none" w:sz="0" w:space="0" w:color="auto"/>
        <w:right w:val="none" w:sz="0" w:space="0" w:color="auto"/>
      </w:divBdr>
    </w:div>
    <w:div w:id="548106949">
      <w:bodyDiv w:val="1"/>
      <w:marLeft w:val="0"/>
      <w:marRight w:val="0"/>
      <w:marTop w:val="0"/>
      <w:marBottom w:val="0"/>
      <w:divBdr>
        <w:top w:val="none" w:sz="0" w:space="0" w:color="auto"/>
        <w:left w:val="none" w:sz="0" w:space="0" w:color="auto"/>
        <w:bottom w:val="none" w:sz="0" w:space="0" w:color="auto"/>
        <w:right w:val="none" w:sz="0" w:space="0" w:color="auto"/>
      </w:divBdr>
    </w:div>
    <w:div w:id="592472401">
      <w:bodyDiv w:val="1"/>
      <w:marLeft w:val="0"/>
      <w:marRight w:val="0"/>
      <w:marTop w:val="0"/>
      <w:marBottom w:val="0"/>
      <w:divBdr>
        <w:top w:val="none" w:sz="0" w:space="0" w:color="auto"/>
        <w:left w:val="none" w:sz="0" w:space="0" w:color="auto"/>
        <w:bottom w:val="none" w:sz="0" w:space="0" w:color="auto"/>
        <w:right w:val="none" w:sz="0" w:space="0" w:color="auto"/>
      </w:divBdr>
    </w:div>
    <w:div w:id="600913452">
      <w:bodyDiv w:val="1"/>
      <w:marLeft w:val="0"/>
      <w:marRight w:val="0"/>
      <w:marTop w:val="0"/>
      <w:marBottom w:val="0"/>
      <w:divBdr>
        <w:top w:val="none" w:sz="0" w:space="0" w:color="auto"/>
        <w:left w:val="none" w:sz="0" w:space="0" w:color="auto"/>
        <w:bottom w:val="none" w:sz="0" w:space="0" w:color="auto"/>
        <w:right w:val="none" w:sz="0" w:space="0" w:color="auto"/>
      </w:divBdr>
    </w:div>
    <w:div w:id="616832336">
      <w:bodyDiv w:val="1"/>
      <w:marLeft w:val="0"/>
      <w:marRight w:val="0"/>
      <w:marTop w:val="0"/>
      <w:marBottom w:val="0"/>
      <w:divBdr>
        <w:top w:val="none" w:sz="0" w:space="0" w:color="auto"/>
        <w:left w:val="none" w:sz="0" w:space="0" w:color="auto"/>
        <w:bottom w:val="none" w:sz="0" w:space="0" w:color="auto"/>
        <w:right w:val="none" w:sz="0" w:space="0" w:color="auto"/>
      </w:divBdr>
      <w:divsChild>
        <w:div w:id="2005670269">
          <w:marLeft w:val="576"/>
          <w:marRight w:val="0"/>
          <w:marTop w:val="120"/>
          <w:marBottom w:val="120"/>
          <w:divBdr>
            <w:top w:val="none" w:sz="0" w:space="0" w:color="auto"/>
            <w:left w:val="none" w:sz="0" w:space="0" w:color="auto"/>
            <w:bottom w:val="none" w:sz="0" w:space="0" w:color="auto"/>
            <w:right w:val="none" w:sz="0" w:space="0" w:color="auto"/>
          </w:divBdr>
        </w:div>
        <w:div w:id="1472096998">
          <w:marLeft w:val="576"/>
          <w:marRight w:val="0"/>
          <w:marTop w:val="120"/>
          <w:marBottom w:val="120"/>
          <w:divBdr>
            <w:top w:val="none" w:sz="0" w:space="0" w:color="auto"/>
            <w:left w:val="none" w:sz="0" w:space="0" w:color="auto"/>
            <w:bottom w:val="none" w:sz="0" w:space="0" w:color="auto"/>
            <w:right w:val="none" w:sz="0" w:space="0" w:color="auto"/>
          </w:divBdr>
        </w:div>
      </w:divsChild>
    </w:div>
    <w:div w:id="620769056">
      <w:bodyDiv w:val="1"/>
      <w:marLeft w:val="0"/>
      <w:marRight w:val="0"/>
      <w:marTop w:val="0"/>
      <w:marBottom w:val="0"/>
      <w:divBdr>
        <w:top w:val="none" w:sz="0" w:space="0" w:color="auto"/>
        <w:left w:val="none" w:sz="0" w:space="0" w:color="auto"/>
        <w:bottom w:val="none" w:sz="0" w:space="0" w:color="auto"/>
        <w:right w:val="none" w:sz="0" w:space="0" w:color="auto"/>
      </w:divBdr>
    </w:div>
    <w:div w:id="631330595">
      <w:bodyDiv w:val="1"/>
      <w:marLeft w:val="0"/>
      <w:marRight w:val="0"/>
      <w:marTop w:val="0"/>
      <w:marBottom w:val="0"/>
      <w:divBdr>
        <w:top w:val="none" w:sz="0" w:space="0" w:color="auto"/>
        <w:left w:val="none" w:sz="0" w:space="0" w:color="auto"/>
        <w:bottom w:val="none" w:sz="0" w:space="0" w:color="auto"/>
        <w:right w:val="none" w:sz="0" w:space="0" w:color="auto"/>
      </w:divBdr>
    </w:div>
    <w:div w:id="693577423">
      <w:bodyDiv w:val="1"/>
      <w:marLeft w:val="0"/>
      <w:marRight w:val="0"/>
      <w:marTop w:val="0"/>
      <w:marBottom w:val="0"/>
      <w:divBdr>
        <w:top w:val="none" w:sz="0" w:space="0" w:color="auto"/>
        <w:left w:val="none" w:sz="0" w:space="0" w:color="auto"/>
        <w:bottom w:val="none" w:sz="0" w:space="0" w:color="auto"/>
        <w:right w:val="none" w:sz="0" w:space="0" w:color="auto"/>
      </w:divBdr>
    </w:div>
    <w:div w:id="800539437">
      <w:bodyDiv w:val="1"/>
      <w:marLeft w:val="0"/>
      <w:marRight w:val="0"/>
      <w:marTop w:val="0"/>
      <w:marBottom w:val="0"/>
      <w:divBdr>
        <w:top w:val="none" w:sz="0" w:space="0" w:color="auto"/>
        <w:left w:val="none" w:sz="0" w:space="0" w:color="auto"/>
        <w:bottom w:val="none" w:sz="0" w:space="0" w:color="auto"/>
        <w:right w:val="none" w:sz="0" w:space="0" w:color="auto"/>
      </w:divBdr>
    </w:div>
    <w:div w:id="861820132">
      <w:bodyDiv w:val="1"/>
      <w:marLeft w:val="0"/>
      <w:marRight w:val="0"/>
      <w:marTop w:val="0"/>
      <w:marBottom w:val="0"/>
      <w:divBdr>
        <w:top w:val="none" w:sz="0" w:space="0" w:color="auto"/>
        <w:left w:val="none" w:sz="0" w:space="0" w:color="auto"/>
        <w:bottom w:val="none" w:sz="0" w:space="0" w:color="auto"/>
        <w:right w:val="none" w:sz="0" w:space="0" w:color="auto"/>
      </w:divBdr>
    </w:div>
    <w:div w:id="932280318">
      <w:bodyDiv w:val="1"/>
      <w:marLeft w:val="0"/>
      <w:marRight w:val="0"/>
      <w:marTop w:val="0"/>
      <w:marBottom w:val="0"/>
      <w:divBdr>
        <w:top w:val="none" w:sz="0" w:space="0" w:color="auto"/>
        <w:left w:val="none" w:sz="0" w:space="0" w:color="auto"/>
        <w:bottom w:val="none" w:sz="0" w:space="0" w:color="auto"/>
        <w:right w:val="none" w:sz="0" w:space="0" w:color="auto"/>
      </w:divBdr>
    </w:div>
    <w:div w:id="938835362">
      <w:bodyDiv w:val="1"/>
      <w:marLeft w:val="0"/>
      <w:marRight w:val="0"/>
      <w:marTop w:val="0"/>
      <w:marBottom w:val="0"/>
      <w:divBdr>
        <w:top w:val="none" w:sz="0" w:space="0" w:color="auto"/>
        <w:left w:val="none" w:sz="0" w:space="0" w:color="auto"/>
        <w:bottom w:val="none" w:sz="0" w:space="0" w:color="auto"/>
        <w:right w:val="none" w:sz="0" w:space="0" w:color="auto"/>
      </w:divBdr>
    </w:div>
    <w:div w:id="956327358">
      <w:bodyDiv w:val="1"/>
      <w:marLeft w:val="0"/>
      <w:marRight w:val="0"/>
      <w:marTop w:val="0"/>
      <w:marBottom w:val="0"/>
      <w:divBdr>
        <w:top w:val="none" w:sz="0" w:space="0" w:color="auto"/>
        <w:left w:val="none" w:sz="0" w:space="0" w:color="auto"/>
        <w:bottom w:val="none" w:sz="0" w:space="0" w:color="auto"/>
        <w:right w:val="none" w:sz="0" w:space="0" w:color="auto"/>
      </w:divBdr>
    </w:div>
    <w:div w:id="981735017">
      <w:bodyDiv w:val="1"/>
      <w:marLeft w:val="0"/>
      <w:marRight w:val="0"/>
      <w:marTop w:val="0"/>
      <w:marBottom w:val="0"/>
      <w:divBdr>
        <w:top w:val="none" w:sz="0" w:space="0" w:color="auto"/>
        <w:left w:val="none" w:sz="0" w:space="0" w:color="auto"/>
        <w:bottom w:val="none" w:sz="0" w:space="0" w:color="auto"/>
        <w:right w:val="none" w:sz="0" w:space="0" w:color="auto"/>
      </w:divBdr>
    </w:div>
    <w:div w:id="1030641178">
      <w:bodyDiv w:val="1"/>
      <w:marLeft w:val="0"/>
      <w:marRight w:val="0"/>
      <w:marTop w:val="0"/>
      <w:marBottom w:val="0"/>
      <w:divBdr>
        <w:top w:val="none" w:sz="0" w:space="0" w:color="auto"/>
        <w:left w:val="none" w:sz="0" w:space="0" w:color="auto"/>
        <w:bottom w:val="none" w:sz="0" w:space="0" w:color="auto"/>
        <w:right w:val="none" w:sz="0" w:space="0" w:color="auto"/>
      </w:divBdr>
    </w:div>
    <w:div w:id="1182357366">
      <w:bodyDiv w:val="1"/>
      <w:marLeft w:val="0"/>
      <w:marRight w:val="0"/>
      <w:marTop w:val="0"/>
      <w:marBottom w:val="0"/>
      <w:divBdr>
        <w:top w:val="none" w:sz="0" w:space="0" w:color="auto"/>
        <w:left w:val="none" w:sz="0" w:space="0" w:color="auto"/>
        <w:bottom w:val="none" w:sz="0" w:space="0" w:color="auto"/>
        <w:right w:val="none" w:sz="0" w:space="0" w:color="auto"/>
      </w:divBdr>
    </w:div>
    <w:div w:id="1202520255">
      <w:bodyDiv w:val="1"/>
      <w:marLeft w:val="0"/>
      <w:marRight w:val="0"/>
      <w:marTop w:val="0"/>
      <w:marBottom w:val="0"/>
      <w:divBdr>
        <w:top w:val="none" w:sz="0" w:space="0" w:color="auto"/>
        <w:left w:val="none" w:sz="0" w:space="0" w:color="auto"/>
        <w:bottom w:val="none" w:sz="0" w:space="0" w:color="auto"/>
        <w:right w:val="none" w:sz="0" w:space="0" w:color="auto"/>
      </w:divBdr>
    </w:div>
    <w:div w:id="1246257153">
      <w:bodyDiv w:val="1"/>
      <w:marLeft w:val="0"/>
      <w:marRight w:val="0"/>
      <w:marTop w:val="0"/>
      <w:marBottom w:val="0"/>
      <w:divBdr>
        <w:top w:val="none" w:sz="0" w:space="0" w:color="auto"/>
        <w:left w:val="none" w:sz="0" w:space="0" w:color="auto"/>
        <w:bottom w:val="none" w:sz="0" w:space="0" w:color="auto"/>
        <w:right w:val="none" w:sz="0" w:space="0" w:color="auto"/>
      </w:divBdr>
    </w:div>
    <w:div w:id="1395200064">
      <w:bodyDiv w:val="1"/>
      <w:marLeft w:val="0"/>
      <w:marRight w:val="0"/>
      <w:marTop w:val="0"/>
      <w:marBottom w:val="0"/>
      <w:divBdr>
        <w:top w:val="none" w:sz="0" w:space="0" w:color="auto"/>
        <w:left w:val="none" w:sz="0" w:space="0" w:color="auto"/>
        <w:bottom w:val="none" w:sz="0" w:space="0" w:color="auto"/>
        <w:right w:val="none" w:sz="0" w:space="0" w:color="auto"/>
      </w:divBdr>
    </w:div>
    <w:div w:id="1475483690">
      <w:bodyDiv w:val="1"/>
      <w:marLeft w:val="0"/>
      <w:marRight w:val="0"/>
      <w:marTop w:val="0"/>
      <w:marBottom w:val="0"/>
      <w:divBdr>
        <w:top w:val="none" w:sz="0" w:space="0" w:color="auto"/>
        <w:left w:val="none" w:sz="0" w:space="0" w:color="auto"/>
        <w:bottom w:val="none" w:sz="0" w:space="0" w:color="auto"/>
        <w:right w:val="none" w:sz="0" w:space="0" w:color="auto"/>
      </w:divBdr>
    </w:div>
    <w:div w:id="1519853776">
      <w:bodyDiv w:val="1"/>
      <w:marLeft w:val="0"/>
      <w:marRight w:val="0"/>
      <w:marTop w:val="0"/>
      <w:marBottom w:val="0"/>
      <w:divBdr>
        <w:top w:val="none" w:sz="0" w:space="0" w:color="auto"/>
        <w:left w:val="none" w:sz="0" w:space="0" w:color="auto"/>
        <w:bottom w:val="none" w:sz="0" w:space="0" w:color="auto"/>
        <w:right w:val="none" w:sz="0" w:space="0" w:color="auto"/>
      </w:divBdr>
      <w:divsChild>
        <w:div w:id="253128859">
          <w:marLeft w:val="576"/>
          <w:marRight w:val="0"/>
          <w:marTop w:val="240"/>
          <w:marBottom w:val="0"/>
          <w:divBdr>
            <w:top w:val="none" w:sz="0" w:space="0" w:color="auto"/>
            <w:left w:val="none" w:sz="0" w:space="0" w:color="auto"/>
            <w:bottom w:val="none" w:sz="0" w:space="0" w:color="auto"/>
            <w:right w:val="none" w:sz="0" w:space="0" w:color="auto"/>
          </w:divBdr>
        </w:div>
        <w:div w:id="1032533571">
          <w:marLeft w:val="576"/>
          <w:marRight w:val="0"/>
          <w:marTop w:val="240"/>
          <w:marBottom w:val="0"/>
          <w:divBdr>
            <w:top w:val="none" w:sz="0" w:space="0" w:color="auto"/>
            <w:left w:val="none" w:sz="0" w:space="0" w:color="auto"/>
            <w:bottom w:val="none" w:sz="0" w:space="0" w:color="auto"/>
            <w:right w:val="none" w:sz="0" w:space="0" w:color="auto"/>
          </w:divBdr>
        </w:div>
        <w:div w:id="182399162">
          <w:marLeft w:val="576"/>
          <w:marRight w:val="0"/>
          <w:marTop w:val="240"/>
          <w:marBottom w:val="0"/>
          <w:divBdr>
            <w:top w:val="none" w:sz="0" w:space="0" w:color="auto"/>
            <w:left w:val="none" w:sz="0" w:space="0" w:color="auto"/>
            <w:bottom w:val="none" w:sz="0" w:space="0" w:color="auto"/>
            <w:right w:val="none" w:sz="0" w:space="0" w:color="auto"/>
          </w:divBdr>
        </w:div>
        <w:div w:id="1686787344">
          <w:marLeft w:val="576"/>
          <w:marRight w:val="0"/>
          <w:marTop w:val="240"/>
          <w:marBottom w:val="0"/>
          <w:divBdr>
            <w:top w:val="none" w:sz="0" w:space="0" w:color="auto"/>
            <w:left w:val="none" w:sz="0" w:space="0" w:color="auto"/>
            <w:bottom w:val="none" w:sz="0" w:space="0" w:color="auto"/>
            <w:right w:val="none" w:sz="0" w:space="0" w:color="auto"/>
          </w:divBdr>
        </w:div>
      </w:divsChild>
    </w:div>
    <w:div w:id="1564097303">
      <w:bodyDiv w:val="1"/>
      <w:marLeft w:val="0"/>
      <w:marRight w:val="0"/>
      <w:marTop w:val="0"/>
      <w:marBottom w:val="0"/>
      <w:divBdr>
        <w:top w:val="none" w:sz="0" w:space="0" w:color="auto"/>
        <w:left w:val="none" w:sz="0" w:space="0" w:color="auto"/>
        <w:bottom w:val="none" w:sz="0" w:space="0" w:color="auto"/>
        <w:right w:val="none" w:sz="0" w:space="0" w:color="auto"/>
      </w:divBdr>
    </w:div>
    <w:div w:id="1572306528">
      <w:bodyDiv w:val="1"/>
      <w:marLeft w:val="0"/>
      <w:marRight w:val="0"/>
      <w:marTop w:val="0"/>
      <w:marBottom w:val="0"/>
      <w:divBdr>
        <w:top w:val="none" w:sz="0" w:space="0" w:color="auto"/>
        <w:left w:val="none" w:sz="0" w:space="0" w:color="auto"/>
        <w:bottom w:val="none" w:sz="0" w:space="0" w:color="auto"/>
        <w:right w:val="none" w:sz="0" w:space="0" w:color="auto"/>
      </w:divBdr>
    </w:div>
    <w:div w:id="2015985217">
      <w:bodyDiv w:val="1"/>
      <w:marLeft w:val="0"/>
      <w:marRight w:val="0"/>
      <w:marTop w:val="0"/>
      <w:marBottom w:val="0"/>
      <w:divBdr>
        <w:top w:val="none" w:sz="0" w:space="0" w:color="auto"/>
        <w:left w:val="none" w:sz="0" w:space="0" w:color="auto"/>
        <w:bottom w:val="none" w:sz="0" w:space="0" w:color="auto"/>
        <w:right w:val="none" w:sz="0" w:space="0" w:color="auto"/>
      </w:divBdr>
      <w:divsChild>
        <w:div w:id="160976536">
          <w:marLeft w:val="576"/>
          <w:marRight w:val="0"/>
          <w:marTop w:val="240"/>
          <w:marBottom w:val="0"/>
          <w:divBdr>
            <w:top w:val="none" w:sz="0" w:space="0" w:color="auto"/>
            <w:left w:val="none" w:sz="0" w:space="0" w:color="auto"/>
            <w:bottom w:val="none" w:sz="0" w:space="0" w:color="auto"/>
            <w:right w:val="none" w:sz="0" w:space="0" w:color="auto"/>
          </w:divBdr>
        </w:div>
        <w:div w:id="824979521">
          <w:marLeft w:val="576"/>
          <w:marRight w:val="0"/>
          <w:marTop w:val="240"/>
          <w:marBottom w:val="0"/>
          <w:divBdr>
            <w:top w:val="none" w:sz="0" w:space="0" w:color="auto"/>
            <w:left w:val="none" w:sz="0" w:space="0" w:color="auto"/>
            <w:bottom w:val="none" w:sz="0" w:space="0" w:color="auto"/>
            <w:right w:val="none" w:sz="0" w:space="0" w:color="auto"/>
          </w:divBdr>
        </w:div>
        <w:div w:id="460616488">
          <w:marLeft w:val="576"/>
          <w:marRight w:val="0"/>
          <w:marTop w:val="240"/>
          <w:marBottom w:val="0"/>
          <w:divBdr>
            <w:top w:val="none" w:sz="0" w:space="0" w:color="auto"/>
            <w:left w:val="none" w:sz="0" w:space="0" w:color="auto"/>
            <w:bottom w:val="none" w:sz="0" w:space="0" w:color="auto"/>
            <w:right w:val="none" w:sz="0" w:space="0" w:color="auto"/>
          </w:divBdr>
        </w:div>
      </w:divsChild>
    </w:div>
    <w:div w:id="2057469014">
      <w:bodyDiv w:val="1"/>
      <w:marLeft w:val="0"/>
      <w:marRight w:val="0"/>
      <w:marTop w:val="0"/>
      <w:marBottom w:val="0"/>
      <w:divBdr>
        <w:top w:val="none" w:sz="0" w:space="0" w:color="auto"/>
        <w:left w:val="none" w:sz="0" w:space="0" w:color="auto"/>
        <w:bottom w:val="none" w:sz="0" w:space="0" w:color="auto"/>
        <w:right w:val="none" w:sz="0" w:space="0" w:color="auto"/>
      </w:divBdr>
      <w:divsChild>
        <w:div w:id="14961840">
          <w:marLeft w:val="576"/>
          <w:marRight w:val="0"/>
          <w:marTop w:val="120"/>
          <w:marBottom w:val="0"/>
          <w:divBdr>
            <w:top w:val="none" w:sz="0" w:space="0" w:color="auto"/>
            <w:left w:val="none" w:sz="0" w:space="0" w:color="auto"/>
            <w:bottom w:val="none" w:sz="0" w:space="0" w:color="auto"/>
            <w:right w:val="none" w:sz="0" w:space="0" w:color="auto"/>
          </w:divBdr>
        </w:div>
        <w:div w:id="1395621020">
          <w:marLeft w:val="576"/>
          <w:marRight w:val="0"/>
          <w:marTop w:val="120"/>
          <w:marBottom w:val="0"/>
          <w:divBdr>
            <w:top w:val="none" w:sz="0" w:space="0" w:color="auto"/>
            <w:left w:val="none" w:sz="0" w:space="0" w:color="auto"/>
            <w:bottom w:val="none" w:sz="0" w:space="0" w:color="auto"/>
            <w:right w:val="none" w:sz="0" w:space="0" w:color="auto"/>
          </w:divBdr>
        </w:div>
        <w:div w:id="1010137053">
          <w:marLeft w:val="576"/>
          <w:marRight w:val="0"/>
          <w:marTop w:val="120"/>
          <w:marBottom w:val="0"/>
          <w:divBdr>
            <w:top w:val="none" w:sz="0" w:space="0" w:color="auto"/>
            <w:left w:val="none" w:sz="0" w:space="0" w:color="auto"/>
            <w:bottom w:val="none" w:sz="0" w:space="0" w:color="auto"/>
            <w:right w:val="none" w:sz="0" w:space="0" w:color="auto"/>
          </w:divBdr>
        </w:div>
      </w:divsChild>
    </w:div>
    <w:div w:id="2069840356">
      <w:bodyDiv w:val="1"/>
      <w:marLeft w:val="0"/>
      <w:marRight w:val="0"/>
      <w:marTop w:val="0"/>
      <w:marBottom w:val="0"/>
      <w:divBdr>
        <w:top w:val="none" w:sz="0" w:space="0" w:color="auto"/>
        <w:left w:val="none" w:sz="0" w:space="0" w:color="auto"/>
        <w:bottom w:val="none" w:sz="0" w:space="0" w:color="auto"/>
        <w:right w:val="none" w:sz="0" w:space="0" w:color="auto"/>
      </w:divBdr>
      <w:divsChild>
        <w:div w:id="174460334">
          <w:marLeft w:val="576"/>
          <w:marRight w:val="0"/>
          <w:marTop w:val="120"/>
          <w:marBottom w:val="0"/>
          <w:divBdr>
            <w:top w:val="none" w:sz="0" w:space="0" w:color="auto"/>
            <w:left w:val="none" w:sz="0" w:space="0" w:color="auto"/>
            <w:bottom w:val="none" w:sz="0" w:space="0" w:color="auto"/>
            <w:right w:val="none" w:sz="0" w:space="0" w:color="auto"/>
          </w:divBdr>
        </w:div>
        <w:div w:id="249317217">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 xsi:nil="true"/>
    <UNDPFocusAreasTaxHTField0 xmlns="1ed4137b-41b2-488b-8250-6d369ec27664">
      <Terms xmlns="http://schemas.microsoft.com/office/infopath/2007/PartnerControl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KEN</TermName>
          <TermId xmlns="http://schemas.microsoft.com/office/infopath/2007/PartnerControls">99aa3ab9-37b4-4da4-9d14-c0bb6d9853f2</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ATLASPDC-4-48472</_dlc_DocId>
    <TaxCatchAll xmlns="1ed4137b-41b2-488b-8250-6d369ec27664">
      <Value>1111</Value>
      <Value>1474</Value>
      <Value>1</Value>
      <Value>763</Value>
    </TaxCatchAll>
    <_Publisher xmlns="http://schemas.microsoft.com/sharepoint/v3/fields" xsi:nil="true"/>
    <UndpDocStatus xmlns="1ed4137b-41b2-488b-8250-6d369ec27664">Reviewed</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2016-05-19T09:00:00+00:00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00083473</UndpProjectNo>
    <_dlc_DocIdUrl xmlns="f1161f5b-24a3-4c2d-bc81-44cb9325e8ee">
      <Url>https://info.undp.org/docs/pdc/_layouts/DocIdRedir.aspx?ID=ATLASPDC-4-48472</Url>
      <Description>ATLASPDC-4-48472</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5B2CC758-5DEB-4AE2-8128-A9010A47E417}"/>
</file>

<file path=customXml/itemProps2.xml><?xml version="1.0" encoding="utf-8"?>
<ds:datastoreItem xmlns:ds="http://schemas.openxmlformats.org/officeDocument/2006/customXml" ds:itemID="{A57E0B3F-1144-405F-9D0E-81B1BC366671}"/>
</file>

<file path=customXml/itemProps3.xml><?xml version="1.0" encoding="utf-8"?>
<ds:datastoreItem xmlns:ds="http://schemas.openxmlformats.org/officeDocument/2006/customXml" ds:itemID="{1E3F939F-4EC3-496D-9021-E8B12C9D0C1F}"/>
</file>

<file path=customXml/itemProps4.xml><?xml version="1.0" encoding="utf-8"?>
<ds:datastoreItem xmlns:ds="http://schemas.openxmlformats.org/officeDocument/2006/customXml" ds:itemID="{77D5AD42-541D-416D-A8F8-D0CCD628CF48}"/>
</file>

<file path=customXml/itemProps5.xml><?xml version="1.0" encoding="utf-8"?>
<ds:datastoreItem xmlns:ds="http://schemas.openxmlformats.org/officeDocument/2006/customXml" ds:itemID="{501B76A6-3CB0-4EAF-92A7-F2F80FDEFF84}"/>
</file>

<file path=customXml/itemProps6.xml><?xml version="1.0" encoding="utf-8"?>
<ds:datastoreItem xmlns:ds="http://schemas.openxmlformats.org/officeDocument/2006/customXml" ds:itemID="{916A7D2F-84BC-4C99-BFB1-F6C8C74894E1}"/>
</file>

<file path=docProps/app.xml><?xml version="1.0" encoding="utf-8"?>
<Properties xmlns="http://schemas.openxmlformats.org/officeDocument/2006/extended-properties" xmlns:vt="http://schemas.openxmlformats.org/officeDocument/2006/docPropsVTypes">
  <Template>Normal.dotm</Template>
  <TotalTime>28</TotalTime>
  <Pages>16</Pages>
  <Words>5493</Words>
  <Characters>31316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Ichwara</dc:creator>
  <cp:lastModifiedBy>Joyce Deloge</cp:lastModifiedBy>
  <cp:revision>5</cp:revision>
  <cp:lastPrinted>2016-03-28T09:16:00Z</cp:lastPrinted>
  <dcterms:created xsi:type="dcterms:W3CDTF">2016-03-29T14:25:00Z</dcterms:created>
  <dcterms:modified xsi:type="dcterms:W3CDTF">2016-03-29T14:53:00Z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las_x0020_Document_x0020_Type">
    <vt:lpwstr>237;#Donor Report|1721730c-4059-4c70-9961-19247f3f89af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ContentTypeId">
    <vt:lpwstr>0x010100F075C04BA242A84ABD3293E3AD35CDA400AB50428DC784B44FAACCAA5FAE40C0590045B5E632B552204ABF0E616DD66BDA0F</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1474;#KEN|99aa3ab9-37b4-4da4-9d14-c0bb6d9853f2</vt:lpwstr>
  </property>
  <property fmtid="{D5CDD505-2E9C-101B-9397-08002B2CF9AE}" pid="10" name="Atlas Document Status">
    <vt:lpwstr>763;#Draft|121d40a5-e62e-4d42-82e4-d6d12003de0a</vt:lpwstr>
  </property>
  <property fmtid="{D5CDD505-2E9C-101B-9397-08002B2CF9AE}" pid="11" name="_dlc_DocIdItemGuid">
    <vt:lpwstr>558959cc-8cb6-4d44-ae5b-811b4addb89e</vt:lpwstr>
  </property>
  <property fmtid="{D5CDD505-2E9C-101B-9397-08002B2CF9AE}" pid="12" name="Atlas Document Type">
    <vt:lpwstr>1111;#Donor Report|632012e1-2edc-436c-bf11-0ed9e79cd8fe</vt:lpwstr>
  </property>
  <property fmtid="{D5CDD505-2E9C-101B-9397-08002B2CF9AE}" pid="13" name="eRegFilingCodeMM">
    <vt:lpwstr/>
  </property>
  <property fmtid="{D5CDD505-2E9C-101B-9397-08002B2CF9AE}" pid="14" name="UndpUnitMM">
    <vt:lpwstr/>
  </property>
  <property fmtid="{D5CDD505-2E9C-101B-9397-08002B2CF9AE}" pid="15" name="Unit">
    <vt:lpwstr/>
  </property>
  <property fmtid="{D5CDD505-2E9C-101B-9397-08002B2CF9AE}" pid="16" name="UNDPFocusAreas">
    <vt:lpwstr/>
  </property>
  <property fmtid="{D5CDD505-2E9C-101B-9397-08002B2CF9AE}" pid="17" name="DocumentSetDescription">
    <vt:lpwstr/>
  </property>
  <property fmtid="{D5CDD505-2E9C-101B-9397-08002B2CF9AE}" pid="18" name="URL">
    <vt:lpwstr/>
  </property>
</Properties>
</file>